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</w:t>
      </w:r>
      <w:r w:rsidR="00573D63">
        <w:rPr>
          <w:rFonts w:ascii="Times New Roman" w:hAnsi="Times New Roman" w:cs="Times New Roman"/>
          <w:b/>
          <w:sz w:val="28"/>
          <w:szCs w:val="28"/>
        </w:rPr>
        <w:t>внеочередном</w:t>
      </w:r>
    </w:p>
    <w:p w:rsidR="0045624E" w:rsidRPr="00A140A8" w:rsidRDefault="00A140A8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общем собрании акционеров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>Акционерно</w:t>
      </w:r>
      <w:r w:rsidR="006345A8">
        <w:rPr>
          <w:rFonts w:ascii="Times New Roman" w:hAnsi="Times New Roman" w:cs="Times New Roman"/>
          <w:b/>
          <w:sz w:val="28"/>
          <w:szCs w:val="28"/>
        </w:rPr>
        <w:t>го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6345A8">
        <w:rPr>
          <w:rFonts w:ascii="Times New Roman" w:hAnsi="Times New Roman" w:cs="Times New Roman"/>
          <w:b/>
          <w:sz w:val="28"/>
          <w:szCs w:val="28"/>
        </w:rPr>
        <w:t>а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A8">
        <w:rPr>
          <w:rFonts w:ascii="Times New Roman" w:hAnsi="Times New Roman" w:cs="Times New Roman"/>
          <w:b/>
          <w:sz w:val="28"/>
          <w:szCs w:val="28"/>
        </w:rPr>
        <w:t>«</w:t>
      </w:r>
      <w:r w:rsidR="004517DD">
        <w:rPr>
          <w:rFonts w:ascii="Times New Roman" w:hAnsi="Times New Roman" w:cs="Times New Roman"/>
          <w:b/>
          <w:sz w:val="28"/>
          <w:szCs w:val="28"/>
        </w:rPr>
        <w:t>Жилстрой</w:t>
      </w:r>
      <w:r w:rsidRPr="00A140A8">
        <w:rPr>
          <w:rFonts w:ascii="Times New Roman" w:hAnsi="Times New Roman" w:cs="Times New Roman"/>
          <w:b/>
          <w:sz w:val="28"/>
          <w:szCs w:val="28"/>
        </w:rPr>
        <w:t>»</w:t>
      </w:r>
    </w:p>
    <w:p w:rsidR="0045624E" w:rsidRPr="007D5577" w:rsidRDefault="0045624E" w:rsidP="0076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577">
        <w:rPr>
          <w:rFonts w:ascii="Times New Roman" w:hAnsi="Times New Roman" w:cs="Times New Roman"/>
          <w:b/>
          <w:sz w:val="24"/>
          <w:szCs w:val="24"/>
        </w:rPr>
        <w:t>г. Орел</w:t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C4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73D63">
        <w:rPr>
          <w:rFonts w:ascii="Times New Roman" w:hAnsi="Times New Roman" w:cs="Times New Roman"/>
          <w:b/>
          <w:sz w:val="24"/>
          <w:szCs w:val="24"/>
        </w:rPr>
        <w:t>06</w:t>
      </w:r>
      <w:r w:rsidR="009950F2" w:rsidRPr="007D5577">
        <w:rPr>
          <w:rFonts w:ascii="Times New Roman" w:hAnsi="Times New Roman" w:cs="Times New Roman"/>
          <w:b/>
          <w:sz w:val="24"/>
          <w:szCs w:val="24"/>
        </w:rPr>
        <w:t>.</w:t>
      </w:r>
      <w:r w:rsidR="00573D63">
        <w:rPr>
          <w:rFonts w:ascii="Times New Roman" w:hAnsi="Times New Roman" w:cs="Times New Roman"/>
          <w:b/>
          <w:sz w:val="24"/>
          <w:szCs w:val="24"/>
        </w:rPr>
        <w:t>11</w:t>
      </w:r>
      <w:r w:rsidR="00BB695B" w:rsidRPr="007D5577">
        <w:rPr>
          <w:rFonts w:ascii="Times New Roman" w:hAnsi="Times New Roman" w:cs="Times New Roman"/>
          <w:b/>
          <w:sz w:val="24"/>
          <w:szCs w:val="24"/>
        </w:rPr>
        <w:t>.201</w:t>
      </w:r>
      <w:r w:rsidR="003A57A6">
        <w:rPr>
          <w:rFonts w:ascii="Times New Roman" w:hAnsi="Times New Roman" w:cs="Times New Roman"/>
          <w:b/>
          <w:sz w:val="24"/>
          <w:szCs w:val="24"/>
        </w:rPr>
        <w:t>9</w:t>
      </w:r>
      <w:r w:rsidRPr="007D5577">
        <w:rPr>
          <w:rFonts w:ascii="Times New Roman" w:hAnsi="Times New Roman" w:cs="Times New Roman"/>
          <w:b/>
          <w:sz w:val="24"/>
          <w:szCs w:val="24"/>
        </w:rPr>
        <w:t>г.</w:t>
      </w:r>
    </w:p>
    <w:p w:rsidR="007D5577" w:rsidRDefault="007D5577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088"/>
      </w:tblGrid>
      <w:tr w:rsidR="005233D2" w:rsidTr="000C7599">
        <w:tc>
          <w:tcPr>
            <w:tcW w:w="3544" w:type="dxa"/>
          </w:tcPr>
          <w:p w:rsidR="005233D2" w:rsidRPr="001B00D7" w:rsidRDefault="00B56369" w:rsidP="00B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фирменное н</w:t>
            </w:r>
            <w:r w:rsidR="005233D2" w:rsidRPr="001B00D7">
              <w:rPr>
                <w:rFonts w:ascii="Times New Roman" w:hAnsi="Times New Roman" w:cs="Times New Roman"/>
                <w:sz w:val="24"/>
                <w:szCs w:val="24"/>
              </w:rPr>
              <w:t>аименование общества</w:t>
            </w:r>
          </w:p>
        </w:tc>
        <w:tc>
          <w:tcPr>
            <w:tcW w:w="6088" w:type="dxa"/>
          </w:tcPr>
          <w:p w:rsidR="005233D2" w:rsidRDefault="005233D2" w:rsidP="00B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24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17DD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3D2" w:rsidTr="000C7599">
        <w:tc>
          <w:tcPr>
            <w:tcW w:w="3544" w:type="dxa"/>
          </w:tcPr>
          <w:p w:rsidR="000C7599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  <w:p w:rsidR="000C7599" w:rsidRDefault="000C7599" w:rsidP="008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общества </w:t>
            </w:r>
          </w:p>
          <w:p w:rsidR="005233D2" w:rsidRPr="000C7599" w:rsidRDefault="005233D2" w:rsidP="0087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5233D2" w:rsidRDefault="005233D2" w:rsidP="00874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г. Орел</w:t>
            </w:r>
          </w:p>
          <w:p w:rsidR="000C7599" w:rsidRDefault="000C7599" w:rsidP="00874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302030, г.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Орел, Площадь Мира, д.7г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Вид общего собрания</w:t>
            </w:r>
          </w:p>
        </w:tc>
        <w:tc>
          <w:tcPr>
            <w:tcW w:w="6088" w:type="dxa"/>
          </w:tcPr>
          <w:p w:rsidR="005233D2" w:rsidRDefault="00EE56F5" w:rsidP="00EE5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6088" w:type="dxa"/>
          </w:tcPr>
          <w:p w:rsidR="005233D2" w:rsidRDefault="005233D2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8">
              <w:rPr>
                <w:rFonts w:ascii="Times New Roman" w:hAnsi="Times New Roman" w:cs="Times New Roman"/>
                <w:sz w:val="24"/>
                <w:szCs w:val="24"/>
              </w:rPr>
              <w:t>собрание (совместное присутствие акционеров (их уполномоченных представителей) для обсуждения вопросов повестки дня и принятия решений по вопросам, поставленным на голосование)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определ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3D2" w:rsidRPr="001B00D7" w:rsidRDefault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общем собрании </w:t>
            </w:r>
          </w:p>
        </w:tc>
        <w:tc>
          <w:tcPr>
            <w:tcW w:w="6088" w:type="dxa"/>
          </w:tcPr>
          <w:p w:rsidR="005233D2" w:rsidRPr="00DB7EA8" w:rsidRDefault="00573D63" w:rsidP="0057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октября</w:t>
            </w:r>
            <w:r w:rsidR="005233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5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3D2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6088" w:type="dxa"/>
          </w:tcPr>
          <w:p w:rsidR="005233D2" w:rsidRPr="00DB7EA8" w:rsidRDefault="00573D63" w:rsidP="0057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  <w:r w:rsidR="005233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5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3D2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5233D2" w:rsidTr="000C7599">
        <w:tc>
          <w:tcPr>
            <w:tcW w:w="3544" w:type="dxa"/>
          </w:tcPr>
          <w:p w:rsidR="005233D2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общего собрания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Сведения о регистраторе, выполнявшем функции счетной комиссии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общего собрания 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 </w:t>
            </w:r>
          </w:p>
          <w:p w:rsidR="009F0DFB" w:rsidRPr="001B00D7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5233D2" w:rsidRDefault="005233D2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4517DD" w:rsidRPr="0039103B">
              <w:rPr>
                <w:rFonts w:ascii="Times New Roman" w:hAnsi="Times New Roman" w:cs="Times New Roman"/>
                <w:sz w:val="24"/>
                <w:szCs w:val="24"/>
              </w:rPr>
              <w:t>302030, г.</w:t>
            </w:r>
            <w:r w:rsidR="009B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DD" w:rsidRPr="0039103B">
              <w:rPr>
                <w:rFonts w:ascii="Times New Roman" w:hAnsi="Times New Roman" w:cs="Times New Roman"/>
                <w:sz w:val="24"/>
                <w:szCs w:val="24"/>
              </w:rPr>
              <w:t>Орел, Площадь Мира, д.</w:t>
            </w:r>
            <w:r w:rsidR="009B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DD" w:rsidRPr="0039103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наименование: Акционерное общество «Реестр».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Место нахождения: Российская Федерация, г. Москва.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Адрес регистратора: 129090, Москва, Б. Балканский пер., д. 20, стр. 1.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АО «Реестр»: Кондакова Ольга Геннадьевна, Андрюшенкова Елена Анатольевна.</w:t>
            </w:r>
          </w:p>
          <w:p w:rsidR="009F0DFB" w:rsidRDefault="00573D63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 Денис Валерьевич</w:t>
            </w:r>
          </w:p>
          <w:p w:rsidR="009F0DFB" w:rsidRPr="00DB7EA8" w:rsidRDefault="009F0DFB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Марина Васильевна</w:t>
            </w:r>
          </w:p>
        </w:tc>
      </w:tr>
    </w:tbl>
    <w:p w:rsidR="007D5577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73D63" w:rsidRPr="00000B22" w:rsidRDefault="00573D63" w:rsidP="00573D63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80808"/>
          <w:sz w:val="26"/>
          <w:szCs w:val="26"/>
          <w:lang w:val="x-none"/>
        </w:rPr>
      </w:pPr>
      <w:r>
        <w:rPr>
          <w:rFonts w:ascii="Times New Roman CYR" w:hAnsi="Times New Roman CYR" w:cs="Times New Roman CYR"/>
          <w:color w:val="080808"/>
          <w:sz w:val="26"/>
          <w:szCs w:val="26"/>
        </w:rPr>
        <w:t xml:space="preserve">1. </w:t>
      </w:r>
      <w:r w:rsidRPr="00000B22">
        <w:rPr>
          <w:rFonts w:ascii="Times New Roman CYR" w:hAnsi="Times New Roman CYR" w:cs="Times New Roman CYR"/>
          <w:color w:val="080808"/>
          <w:sz w:val="26"/>
          <w:szCs w:val="26"/>
          <w:lang w:val="x-none"/>
        </w:rPr>
        <w:t>Утверждение Устава АО "Жилстрой" в новой редакции.</w:t>
      </w:r>
    </w:p>
    <w:p w:rsidR="00573D63" w:rsidRPr="00000B22" w:rsidRDefault="00573D63" w:rsidP="00573D63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80808"/>
          <w:sz w:val="26"/>
          <w:szCs w:val="26"/>
          <w:lang w:val="x-none"/>
        </w:rPr>
      </w:pPr>
      <w:r w:rsidRPr="00000B22">
        <w:rPr>
          <w:rFonts w:ascii="Times New Roman CYR" w:hAnsi="Times New Roman CYR" w:cs="Times New Roman CYR"/>
          <w:color w:val="080808"/>
          <w:sz w:val="26"/>
          <w:szCs w:val="26"/>
          <w:lang w:val="x-none"/>
        </w:rPr>
        <w:t>2. Утверждение внутренних документов АО "Жилстрой" в новой редакции.</w:t>
      </w:r>
    </w:p>
    <w:p w:rsidR="00573D63" w:rsidRPr="00000B22" w:rsidRDefault="00573D63" w:rsidP="00573D63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80808"/>
          <w:sz w:val="26"/>
          <w:szCs w:val="26"/>
          <w:lang w:val="x-none"/>
        </w:rPr>
      </w:pPr>
      <w:r w:rsidRPr="00000B22">
        <w:rPr>
          <w:rFonts w:ascii="Times New Roman CYR" w:hAnsi="Times New Roman CYR" w:cs="Times New Roman CYR"/>
          <w:color w:val="080808"/>
          <w:sz w:val="26"/>
          <w:szCs w:val="26"/>
          <w:lang w:val="x-none"/>
        </w:rPr>
        <w:t>3. О согласии на совершение АО "Жилстрой" крупной сделки, в совершении которой имеется заинтересованность.</w:t>
      </w:r>
    </w:p>
    <w:p w:rsidR="00BA2E97" w:rsidRDefault="00BA2E97" w:rsidP="0053730A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91" w:rsidRPr="00767546" w:rsidRDefault="008A2D91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 xml:space="preserve">Результаты голосования и формулировки </w:t>
      </w:r>
      <w:r w:rsidR="001128AC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eastAsia="ru-RU"/>
        </w:rPr>
        <w:t>р</w:t>
      </w:r>
      <w:proofErr w:type="spellStart"/>
      <w:r w:rsidR="001128AC" w:rsidRPr="009F0DFB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ешений</w:t>
      </w:r>
      <w:proofErr w:type="spellEnd"/>
      <w:r w:rsidR="00D852D4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eastAsia="ru-RU"/>
        </w:rPr>
        <w:t>, принятых общим собранием по каждому вопросу повестки дня общего собрания</w:t>
      </w: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B56369" w:rsidRDefault="00B56369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</w:pPr>
    </w:p>
    <w:p w:rsidR="00EC1FBD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№1: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573D63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573D63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106 033</w:t>
            </w:r>
          </w:p>
        </w:tc>
      </w:tr>
    </w:tbl>
    <w:p w:rsidR="008A2D91" w:rsidRPr="008A2D91" w:rsidRDefault="00B56369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</w:t>
      </w:r>
      <w:r w:rsidR="00573D63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  <w:t>81,79</w:t>
      </w: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% от общего количества голосов лиц, имевших право на участие в собрании по данному вопросу повестки дня).</w:t>
      </w:r>
    </w:p>
    <w:p w:rsidR="001128AC" w:rsidRDefault="001128AC">
      <w:pPr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br w:type="page"/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lastRenderedPageBreak/>
        <w:t xml:space="preserve"> </w:t>
      </w: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57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</w:t>
            </w:r>
            <w:r w:rsidR="00573D63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5 203</w:t>
            </w: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|  99,</w:t>
            </w:r>
            <w:r w:rsidR="00573D63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22</w:t>
            </w: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%*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573D63" w:rsidRDefault="00573D63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736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573D63" w:rsidRDefault="00573D63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0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573D63" w:rsidRDefault="00573D63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94</w:t>
            </w:r>
          </w:p>
        </w:tc>
      </w:tr>
    </w:tbl>
    <w:p w:rsidR="008A2D91" w:rsidRPr="009F6DE9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     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*</w:t>
      </w:r>
      <w:r w:rsidR="00EC1FBD">
        <w:rPr>
          <w:rFonts w:ascii="Times New Roman" w:eastAsia="Times New Roman" w:hAnsi="Times New Roman" w:cs="Times New Roman"/>
          <w:color w:val="080808"/>
          <w:sz w:val="18"/>
          <w:szCs w:val="18"/>
          <w:lang w:eastAsia="ru-RU"/>
        </w:rPr>
        <w:t xml:space="preserve">  здесь и далее по тексту настоящего Отчета п</w:t>
      </w:r>
      <w:proofErr w:type="spellStart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роцент</w:t>
      </w:r>
      <w:proofErr w:type="spellEnd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 xml:space="preserve">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767546" w:rsidRDefault="00573D63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val="x-none" w:eastAsia="ru-RU"/>
        </w:rPr>
      </w:pPr>
      <w:r w:rsidRPr="00573D63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Утвердить Устав Акционерного общества «Жилстрой» в новой редакции </w:t>
      </w:r>
      <w:r w:rsidR="008222C6" w:rsidRPr="001F2A00">
        <w:rPr>
          <w:rFonts w:ascii="Times New Roman" w:eastAsia="Times New Roman" w:hAnsi="Times New Roman" w:cs="Times New Roman"/>
          <w:i/>
          <w:color w:val="080808"/>
          <w:lang w:val="x-none"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собрания)</w:t>
      </w:r>
      <w:r w:rsidR="008A2D91" w:rsidRPr="00767546">
        <w:rPr>
          <w:rFonts w:ascii="Times New Roman" w:eastAsia="Times New Roman" w:hAnsi="Times New Roman" w:cs="Times New Roman"/>
          <w:i/>
          <w:color w:val="080808"/>
          <w:sz w:val="24"/>
          <w:szCs w:val="24"/>
          <w:lang w:val="x-none" w:eastAsia="ru-RU"/>
        </w:rPr>
        <w:t>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№2:</w:t>
      </w:r>
    </w:p>
    <w:p w:rsidR="00EC1FBD" w:rsidRPr="008A2D91" w:rsidRDefault="00EC1FBD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573D63" w:rsidRDefault="00573D63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106 033</w:t>
            </w:r>
          </w:p>
        </w:tc>
      </w:tr>
    </w:tbl>
    <w:p w:rsidR="00B56369" w:rsidRDefault="00B56369" w:rsidP="00B5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</w:t>
      </w:r>
      <w:r w:rsidR="0081245E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  <w:t>81</w:t>
      </w:r>
      <w:r w:rsidR="00573D63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  <w:t>,</w:t>
      </w:r>
      <w:r w:rsidR="0081245E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  <w:t>79</w:t>
      </w: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% от общего количества голосов лиц, имевших право на участие в собрании по данному вопросу повестки дня).</w:t>
      </w:r>
    </w:p>
    <w:p w:rsidR="009D5668" w:rsidRPr="002B26C9" w:rsidRDefault="009D5668" w:rsidP="00B5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bookmarkStart w:id="0" w:name="_GoBack"/>
    </w:p>
    <w:bookmarkEnd w:id="0"/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об общем собрании акционеров Акционерного общества «Жилстрой»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1F2A00" w:rsidP="001F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105 289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 xml:space="preserve"> |  99,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3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1F2A00" w:rsidRDefault="001F2A00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736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1F2A00" w:rsidRDefault="001F2A00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8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Совете директоров Акционерного общества «Жилстрой»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1F2A00" w:rsidP="001F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105 289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 xml:space="preserve"> |  99,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3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1F2A00" w:rsidRDefault="001F2A00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736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1F2A00" w:rsidRDefault="001F2A00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8</w:t>
            </w:r>
          </w:p>
        </w:tc>
      </w:tr>
    </w:tbl>
    <w:p w:rsidR="001F2A00" w:rsidRDefault="001F2A00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ревизионной комиссии Акционерного общества «Жилстрой»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1F2A00" w:rsidP="001F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105 289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 xml:space="preserve"> |  99,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3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1F2A00" w:rsidRDefault="001F2A00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736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1F2A00" w:rsidRDefault="001F2A00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1F2A00" w:rsidRDefault="001F2A00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8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1F2A00" w:rsidRPr="001F2A00" w:rsidRDefault="001F2A00" w:rsidP="001F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1F2A00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Утвердить внутренние документы Общества </w:t>
      </w:r>
      <w:r w:rsidRPr="001F2A00">
        <w:rPr>
          <w:rFonts w:ascii="Times New Roman" w:eastAsia="Times New Roman" w:hAnsi="Times New Roman" w:cs="Times New Roman"/>
          <w:i/>
          <w:color w:val="080808"/>
          <w:lang w:val="x-none"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собрания):</w:t>
      </w:r>
      <w:r w:rsidRPr="001F2A00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 </w:t>
      </w:r>
    </w:p>
    <w:p w:rsidR="001F2A00" w:rsidRPr="001F2A00" w:rsidRDefault="001F2A00" w:rsidP="001F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1F2A00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- Положение об общем собрании акционеров Акционерного общества «Жилстрой» </w:t>
      </w:r>
    </w:p>
    <w:p w:rsidR="001F2A00" w:rsidRPr="001F2A00" w:rsidRDefault="001F2A00" w:rsidP="001F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1F2A00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Совете директоров Акционерного общества «Жилстрой»</w:t>
      </w:r>
    </w:p>
    <w:p w:rsidR="001F2A00" w:rsidRPr="001F2A00" w:rsidRDefault="001F2A00" w:rsidP="001F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1F2A00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ревизионной комиссии Акционерного общества «Жилстрой».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1128AC" w:rsidRDefault="001128AC">
      <w:pPr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br w:type="page"/>
      </w:r>
    </w:p>
    <w:p w:rsidR="008A2D91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lastRenderedPageBreak/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</w:t>
      </w:r>
      <w:r w:rsidR="001F2A00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3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9F0DFB" w:rsidRPr="00767546" w:rsidRDefault="009F0DFB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106 033</w:t>
            </w:r>
          </w:p>
        </w:tc>
      </w:tr>
      <w:tr w:rsidR="0081245E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81245E" w:rsidRDefault="0081245E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</w:pPr>
            <w:r w:rsidRPr="0081245E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81245E" w:rsidRDefault="0081245E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11 105</w:t>
            </w:r>
          </w:p>
        </w:tc>
      </w:tr>
    </w:tbl>
    <w:p w:rsidR="00EC1FBD" w:rsidRDefault="00EC1FBD" w:rsidP="00EC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</w:t>
      </w:r>
      <w:r w:rsidR="0081245E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  <w:t>81</w:t>
      </w: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,7</w:t>
      </w:r>
      <w:r w:rsidR="0081245E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  <w:t>9</w:t>
      </w: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% от общего количества голосов лиц, имевших право на участие в собрании по данному вопросу повестки дня).</w:t>
      </w:r>
    </w:p>
    <w:p w:rsidR="0081245E" w:rsidRPr="008A2D91" w:rsidRDefault="0081245E" w:rsidP="00EC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EE56F5">
        <w:trPr>
          <w:trHeight w:val="112"/>
        </w:trPr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2D91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val="x-none" w:eastAsia="ru-RU"/>
              </w:rPr>
              <w:t xml:space="preserve">Итоги голосования:  </w:t>
            </w: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105 159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 xml:space="preserve"> |  99,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18</w:t>
            </w:r>
            <w:r w:rsidR="008A2D91"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1245E" w:rsidRDefault="0081245E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856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1245E" w:rsidRDefault="0081245E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1245E" w:rsidRDefault="0081245E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eastAsia="ru-RU"/>
              </w:rPr>
              <w:t>18</w:t>
            </w:r>
          </w:p>
        </w:tc>
      </w:tr>
    </w:tbl>
    <w:p w:rsidR="0081245E" w:rsidRDefault="0081245E" w:rsidP="0081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1245E" w:rsidRPr="0081245E" w:rsidRDefault="0081245E" w:rsidP="0081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1245E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81245E" w:rsidRPr="0081245E" w:rsidTr="00EE56F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10 231 |  92,13%*</w:t>
            </w:r>
          </w:p>
        </w:tc>
      </w:tr>
      <w:tr w:rsidR="0081245E" w:rsidRPr="0081245E" w:rsidTr="00EE56F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856</w:t>
            </w:r>
          </w:p>
        </w:tc>
      </w:tr>
      <w:tr w:rsidR="0081245E" w:rsidRPr="0081245E" w:rsidTr="00EE56F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1245E" w:rsidRPr="0081245E" w:rsidTr="00EE56F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5E" w:rsidRPr="00EE56F5" w:rsidRDefault="0081245E" w:rsidP="008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EE56F5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18</w:t>
            </w:r>
          </w:p>
        </w:tc>
      </w:tr>
    </w:tbl>
    <w:p w:rsidR="0081245E" w:rsidRDefault="0081245E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согласие на совершение крупной сделки (совокупности сделок), в совершении которой (которых) имеется заинтересованность, а именно: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по предоставлению ПАО Сбербанк (ОГРН 1027700132195, далее также – Кредитор, Банк) поручительства Общества 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полном объеме в обеспечение исполнения всех обязательств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Публичного акционерного общества «Орелстрой» (ОГРН 1025700764363) (далее также – ПАО «Орелстрой», Выгодоприобретатель), 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Договору об открытии </w:t>
      </w:r>
      <w:proofErr w:type="spellStart"/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невозобновляемой</w:t>
      </w:r>
      <w:proofErr w:type="spellEnd"/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кредитной линии №630219011 от 27.08.2019г. (далее также – Договор) с учетом заключения о крупной сделке от 01.10.2019 г., утвержденного Советом директоров на следующих условиях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сделки: поручительство;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Обязательств Выгодоприобретателя, в обеспечение которых может быть предоставлено поручительство: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 сделки: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невозобновляемая</w:t>
      </w:r>
      <w:proofErr w:type="spellEnd"/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кредитная линия) 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Сумма финансирования (кредитный лимит)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более 307 363 685 (Триста семь миллионов триста шестьдесят три тысячи шестьсот восемьдесят пять) рублей 00 копеек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финансирования: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затрат по строительству Комплекса из 3-х многоквартирных домов на земельном участке 4 по ул. Зареченской в г. Орле. 2-й этап строительства – многоквартирный дом корпус 2 (поз. 57) (далее – Объект) (далее – Проект), в том числе для формирования Заемщиком у Кредитора покрытия по аккредитивам на оплату затрат на строительство Объекта в соответствии с Договором генерального подряда 16-74 от 16.03.2018, заключенного между ПАО «Орелстрой» и АО «Жилстрой» (далее – Генеральный подрядчик).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финансирования: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более 24 месяцев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Процентная ставка: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Заемщик уплачивает Кредитору проценты по Средневзвешенной процентной ставке, расчет которой производится по всей сумме задолженности по кредиту и отражен в условиях Договора.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Базовая процентная ставка составляет 12,00% (Двенадцать) процентов годовых, Специальная процентная ставка составляет 2,11% (Две целых одиннадцать сотых) процентов годовых.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Проект соответствует  требованиям Постановления Правительства РФ от 22.04.2019 года №480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 (далее по тексту – «Постановление Правительства РФ №480»), то Заемщик за период со дня получения заключения о соответствии Проекта требованиям Постановления Правительства РФ №480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(включительно) по дату полного погашения кредита, указанную в п.6.1 Договора (включительно), уплачивает Кредитору проценты за пользование кредитом по Средневзвешенной процентной ставке, расчет которой производится по всей сумме задолженности по кредиту и отражен условиях Договора.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пользования кредитными ресурсами с даты выдачи кредита (не включая эту дату) по дату открытия Аккредитива (включительно) устанавливается Базовая процентная ставка.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период пользования кредитными ресурсами с даты открытия Аккредитива (не включая эту дату) по дату полного списания средств со счета покрытия у Кредитора по Аккредитиву, за пользование кредитными ресурсами Заемщик уплачивает Кредитору проценты по Средневзвешенной процентной ставке, размер которой определяется на основании расчета. 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Средневзвешенной процентной ставки производится по всей сумме задолженности по кредиту, исходя из следующего: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объема кредитных ресурсов, находящихся на счете покрытия по Аккредитиву, открытому у Кредитора, по Специальной процентной ставке 1.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остатка ссудной задолженности, уменьшенного на объем ресурсов, находящихся на счете покрытия по Аккредитиву, открытому у Кредитора, по Базовой процентной ставке.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применяется следующая формула расчета средневзвешенной процентной ставки:</w:t>
      </w:r>
    </w:p>
    <w:p w:rsidR="00EE56F5" w:rsidRPr="00EE56F5" w:rsidRDefault="00EE56F5" w:rsidP="00EE5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SrSt</w:t>
      </w:r>
      <w:proofErr w:type="spellEnd"/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= (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en-US" w:eastAsia="ru-RU"/>
        </w:rPr>
        <w:t>n1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*</w:t>
      </w:r>
      <w:proofErr w:type="spellStart"/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SpSt</w:t>
      </w:r>
      <w:proofErr w:type="spellEnd"/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+ (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en-US" w:eastAsia="ru-RU"/>
        </w:rPr>
        <w:t>n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-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en-US" w:eastAsia="ru-RU"/>
        </w:rPr>
        <w:t>n1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)*</w:t>
      </w:r>
      <w:proofErr w:type="spellStart"/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DnSt</w:t>
      </w:r>
      <w:proofErr w:type="spellEnd"/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)/ 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en-US" w:eastAsia="ru-RU"/>
        </w:rPr>
        <w:t>n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, 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SrSt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Средневзвешенная процентная ставка по кредиту;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DnSt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Базовая процентная ставка по кредиту;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SpSt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Специальная процентная ставка 1 по кредиту;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EE56F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кредитные ресурсы, находящиеся на счетах покрытия по Аккредитиву, открытых у Кредитора; 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Общая сумма задолженности по кредиту.</w:t>
      </w:r>
    </w:p>
    <w:p w:rsidR="00EE56F5" w:rsidRPr="00EE56F5" w:rsidRDefault="00EE56F5" w:rsidP="00EE56F5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если общая сумма ссудной задолженности меньше остатка средств на счете покрытия по Аккредитиву (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 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E5"/>
      </w:r>
      <w:r w:rsidRPr="00EE56F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EE56F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), на указанную сумму ссудной задолженности начисляется Специальная процентная ставка.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периода действия Договора перерасчет средневзвешенной процентной ставки происходит при изменении общей суммы задолженности по кредиту, Базовой и/или Специальной процентных ставок, а также размера ресурсов, находящихся на счетах покрытия по Аккредитивам.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размере установленной процентной ставки направляется Кредитором в адрес Заемщика не позднее 15 (Пятнадцатого) числа месяца уплаты процентов. В случае, если Заемщик не получил указанного уведомления, процентная ставка самостоятельно рассчитывается Заемщиком в соответствии с Условиями Договора.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Проект не соответствует требованиям Постановления Правительства РФ №480, то Заемщик с даты выдачи кредитных средств (включительно) по дату полного погашения кредита, указанную в п.6.1 Договора (включительно), уплачивает Кредитору проценты за пользование кредитом по Средневзвешенной процентной ставке, расчет которой производится по всей сумме задолженности по кредиту и отражен в условиях Договора.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Средневзвешенной процентной ставке производится по всей сумме задолженности по кредиту, исходя из следующего: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суммы средств, привлеченных Заемщиком от участников долевого строительства на основании договоров участия в долевом строительстве, заключенных в отношении строящегося Объекта, путем размещения таких средств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Специальной процентной ставке 2 – 7,20 годовых%;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объёма кредитных ресурсов, находящихся на счете покрытия по Аккредитиву, открытому у Кредитора, по Специальной процентной ставке 1 – 4,11% годовых;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суммы ссудной задолженности, уменьшенной совокупную сумму средств, находящихся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средств, находящихся на счетах покрытия Аккредитиву, открытому у Кредитора, по Базовой процентной ставке – 14% годовых,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следующей формуле: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E286479" wp14:editId="7EA34B72">
            <wp:extent cx="224790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F&gt;K-A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A≤K,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EE5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 = (A*I(a)+(K-A)*I(v))/K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I –  расчетное значение ставки по кредиту, используемое для определения ставки по кредиту, устанавливаемой на соответствующий Процентный период (Средневзвешенная процентная ставка);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А – кредитные ресурсы по данному кредиту, находящиеся на счетах покрытия по аккредитиву(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открытых у Кредитора;  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F – сумма ссудной задолженности, равная сумме средств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Расчетную дату;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I(а) – Специальная процентная ставка 1;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I(v) – Специальная процентная ставка 2; 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I(i) – Базовая процентная ставка;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К –  остаток ссудной задолженности на Расчетную дату.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Процентная ставка устанавливается ежемесячно на соответствующий Процентный период без заключения дополнительного соглашения путем письменного уведомления Кредитором Заемщика о процентной ставке, установленной на Процентный период, в соответствии с Таблицей 1 соответствия Расчетных дат и Процентных периодов:</w:t>
      </w:r>
    </w:p>
    <w:p w:rsidR="00EE56F5" w:rsidRPr="00EE56F5" w:rsidRDefault="00EE56F5" w:rsidP="00EE5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544"/>
        <w:gridCol w:w="4103"/>
      </w:tblGrid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дата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Процентный период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уплаты процентов за Процентный период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января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по 31 января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28 февраля / 29 февраля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февраля по 28 февраля/29 февраля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марта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марта по 31 марта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апреля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апреля по 30 апреля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мая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мая по 31 мая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июня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июня по 30 июня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июля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июля по 31 июля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августа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августа по 31 августа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25сентября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сентября по 30 сентября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октября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октября по 31 октября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ноября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ноября по 30 ноября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1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1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декабря по 31 декабря</w:t>
            </w:r>
          </w:p>
        </w:tc>
        <w:tc>
          <w:tcPr>
            <w:tcW w:w="207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</w:tc>
      </w:tr>
    </w:tbl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размере установленной процентной ставки направляется Кредитором в адрес Заемщика не позднее 15 (Пятнадцатого) числа месяца уплаты процентов. В случае, если Заемщик не получил указанного уведомления, процентная ставка самостоятельно рассчитывается Заемщиком в соответствии с условиями Договора.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каждом из следующих случаев (при наступлении каждого из обстоятельств и/или при неисполнении каждого из обязательств),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Предоставлять Кредитору не позднее 275 (Двести семьдесят пять) календарных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органы,</w:t>
      </w:r>
      <w:r w:rsidRPr="00EE56F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отчетности).</w:t>
      </w:r>
    </w:p>
    <w:p w:rsidR="00EE56F5" w:rsidRPr="00EE56F5" w:rsidRDefault="00EE56F5" w:rsidP="00EE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дополнительное обеспечение либо погасить необеспеченную сумму кредита в течение 10 (Десяти) рабочих дней с даты получения соответствующего извещения Кредитора в случае, если в период действия Договора залоговая стоимость предмета(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залога, указанного(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Договоре, в результате утраты предмета(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залога (вследствие гибели, недостачи, выбытия, повреждения, хищения, угона, а также по иным причинам, не зависящим от Кредитора) стала меньше обязательств по Договору (ссудная задолженность по кредиту и проценты, начисленные исходя из суммы Базовой процентной ставки по Договору и максимальной величины общего размера Дополнительной части процентной ставки по Договору за 90 (Девяносто) дней пользования кредитом или до даты полного погашения кредита, указанной в п. 6.1 Договора, в случае, если до указанной даты осталось менее 90 (Девяносто) дней). Под залоговой стоимостью предмета(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залога в целях настоящего подпункта понимается залоговая стоимость предмета(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залога, определенная в соответствии с условиями Кредитного договора, за вычетом залоговой стоимости утраченного(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предмета(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залога. 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предъявлении залогодателю и/или поручителю по кредиту исков об уплате денежной суммы или об истребовании имущества, совокупный размер которых ставит под угрозу выполнение обязательств по договору залога и/или договору поручительства и/или предъявлении заявления в арбитражный суд о признании залогодателя и/или поручителя несостоятельным (банкротом) в установленном действующим законодательством порядке, и/или принятии решений о реорганизации, ликвидации или уменьшении уставного капитала (уставного фонда) обеспечить замену в течение 20 (Двадцати) календарных дней с даты отправления Кредитором требования о замене заложенного имущества на аналогичную сумму и/или поручителя. При этом, состав заложенного имущества и/или поручитель должен быть приемлемым для Кредитора и им согласован.</w:t>
      </w:r>
    </w:p>
    <w:p w:rsidR="00EE56F5" w:rsidRPr="00EE56F5" w:rsidRDefault="00EE56F5" w:rsidP="00EE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течение 90 (Девяноста) календарных дней с даты ввода построенного Объекта в эксплуатацию, но не позднее 28.09.2019 г. зарегистрировать права собственности  Заемщика с обременением ипотекой в силу закона в пользу Кредитора на все нереализованные площади в Объекте, указанном в п. 1.1 Договора, завершенном строительством, из состава предоставленных в залог Кредитору имущественных прав в соответствии с п. 9.1.1, 9.1.2 Договора, и направить Кредитору уведомление о произведенной государственной регистрации права собственности и об обременении ипотекой в силу закона в пользу Кредитора.</w:t>
      </w:r>
    </w:p>
    <w:p w:rsidR="00EE56F5" w:rsidRPr="00EE56F5" w:rsidRDefault="00EE56F5" w:rsidP="00EE56F5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Заемщик обязан зарегистрировать ипотеку(и) в силу договора площадей в Объекте, указанном в п. 1.1 Договора, завершенном строительством, из состава предоставленных в залог Кредитору имущественных прав в соответствии с п. 9.1.1, 9.1.2 Договора, имущественные права на которые не будут реализованы на момент оформления права собственности Заемщика, в течение 60 (Шестидесяти) календарных дней с даты государственной регистрации права собственности Заемщика на указанные площади в Объекте. В случае государственной регистрации права собственности Заемщика на все нереализованные площади Объекта, указанного в п. 1.1 Договора, завершенного строительством, из состава предоставленных в залог Кредитору имущественных прав в соответствии с п. 9.1.1, 9.1.2 Договора, с наличием в Едином государственном реестре недвижимости  информации об  обременении в пользу Кредитора «ипотека в силу закона» всех нереализованных площадей в Объекте, указанном в п. 1.1 Договора, завершенном строительством, возможно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неоформление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ипотеки в силу договора нереализованных площадей Объекта. Решение об оформлении или не оформлении ипотеки в силу договора нереализованных площадей принимается Кредитором. </w:t>
      </w:r>
    </w:p>
    <w:p w:rsidR="00EE56F5" w:rsidRPr="00EE56F5" w:rsidRDefault="00EE56F5" w:rsidP="00EE56F5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Заемщик обязан застраховать имущество, передаваемое в ипотеку в соответствии с п. 8.2.51 Договора, не позднее 90 (Девяносто) рабочих дней с даты ввода Объекта в эксплуатацию. При поэтапном вводе Объекта в эксплуатацию страхование Объекта осуществляется поэтапно не позднее 90 (Девяносто) рабочих дней с даты ввода в эксплуатацию соответствующей части Объекта.</w:t>
      </w:r>
    </w:p>
    <w:p w:rsidR="00EE56F5" w:rsidRPr="00EE56F5" w:rsidRDefault="00EE56F5" w:rsidP="00EE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по тексту именуемых «Основания»), Кредитор вправе увеличить процентную ставку по кредиту на Дополнительную часть процентной ставки в размере 1,0 (Одного) процента годовых по каждому Основанию. В случае (при наступлении обстоятельства и/или при неисполнении обязательства), указанном в п. 8.2.44 Договора (далее по тексту именуемом «Основание»), Кредитор вправе увеличить процентную ставку по кредиту на Дополнительную часть процентной ставки в размере 0,1 (Ноль целых одна десятая) процента годовых. При этом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общий размер Дополнительной части процентной ставки при наступлении нескольких Оснований не может превышать 2,0 (Двух) процентов годовых. </w:t>
      </w:r>
    </w:p>
    <w:p w:rsidR="00EE56F5" w:rsidRPr="00EE56F5" w:rsidRDefault="00EE56F5" w:rsidP="00EE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часть процентной ставки устанавливается в соответствующем размере, начиная с 10 (Десятого) рабочего дня, следующего за датой доставки Заемщику уведомления Кредитора о наступлении Основания(й).</w:t>
      </w:r>
    </w:p>
    <w:p w:rsidR="00EE56F5" w:rsidRPr="00EE56F5" w:rsidRDefault="00EE56F5" w:rsidP="00EE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размера Дополнительной части процентной ставки либо прекращение ее действия зависят от прекращения действия Основания(й), в связи с которым(и) была установлена Дополнительная часть процентной ставки в соответствующем размере.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соответствующего(их) Основания(й) (включительно). К уведомлению Заемщика должны быть приложены документы, подтверждающие прекращение действия, соответствующего(их) Основания(й).</w:t>
      </w:r>
    </w:p>
    <w:p w:rsidR="00EE56F5" w:rsidRPr="00EE56F5" w:rsidRDefault="00EE56F5" w:rsidP="00EE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часть процентной ставки суммируется с основной частью процентной ставки по кредиту, указанной в п. 4.1.1 Договора, и устанавливается / прекращает начисляться Кредитором без заключения дополнительного соглашения путем письменного уведомления Кредитором Заемщика.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Плата за резервирование: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0,5 % (ноль целых пять десятых процента) от суммы лимита кредитной линии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Плата за пользование лимитом кредитной линии: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0,4 % (ноль целых четыре десятых процента) от свободного остатка лимита кредитной линии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оплаты процентов: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Ежемесячно 25 числа каждого месяца и в дату окончательного погашения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погашения процентов за пользование кредитом: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Ежемесячно 25 числа каждого месяца и в дату окончательного погашения</w:t>
      </w:r>
    </w:p>
    <w:p w:rsidR="00EE56F5" w:rsidRPr="00EE56F5" w:rsidRDefault="00EE56F5" w:rsidP="00EE56F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взиманием иных платежей (комиссий, неустоек), определяемых уполномоченным на подписание заключаемого договора лицом Общества по согласованию с банком, </w:t>
      </w:r>
    </w:p>
    <w:p w:rsidR="00EE56F5" w:rsidRPr="00EE56F5" w:rsidRDefault="00EE56F5" w:rsidP="00EE56F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 сроками и порядками предоставления и возврата кредита (в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. графиками выдачи и погашения кредита), определяемыми уполномоченным на подписание заключаемого договора лицом Общества по согласованию с банком);</w:t>
      </w:r>
    </w:p>
    <w:p w:rsidR="00EE56F5" w:rsidRPr="00EE56F5" w:rsidRDefault="00EE56F5" w:rsidP="00EE56F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включением в текст договора условий об обязанности предоставить в залог в обеспечение исполнения обязательств по сделке любое движимое/ недвижимое имущество/ имущественные права, принадлежащие Обществу (в том числе залог всего имущества, принадлежащего Обществу, а также залог любого имущества Общества, приобретенного в будущем по любым основаниям), на любых условиях, а также с включением в текст договора условий об обязанности предоставить любое обеспечение исполнения обязательств по сделке от третьих лиц (в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залог любого имущества, поручительства и гарантии);</w:t>
      </w:r>
    </w:p>
    <w:p w:rsidR="00EE56F5" w:rsidRPr="00EE56F5" w:rsidRDefault="00EE56F5" w:rsidP="00EE56F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 а также на иных условиях предусмотренных кредитным договором.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Одобрить условие договора поручительства о том, что поручитель выражает согласие на: изменение структуры обеспечения Кредитного договора (освобождении от залога части или всего имущества, исключение из числа поручителей любого из поручителей, прекращение независимой гарантии и т.п.). При этом, Поручитель обязуется отвечать перед Банком в том же объеме,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Заинтересованными с совершении сделки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Наименование/ категория заинтересованного лица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Основания признания заинтересованным лицом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«Орелстрой» (ОГРН: 1025700764363)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Является Выгодоприобретателем по сделке и контролирующим лицом Поручителя (владеющим 72,9189 % акций)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 Дмитрий Сергеевич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совета директоров Поручителя, а также единоличный исполнительный орган и член правления Заемщика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Анатолий Иванович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совета директоров Поручителя и член правления Заемщика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</w:t>
            </w:r>
            <w:proofErr w:type="spellEnd"/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 </w:t>
            </w:r>
            <w:proofErr w:type="spellStart"/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Рамзанович</w:t>
            </w:r>
            <w:proofErr w:type="spellEnd"/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совета директоров Поручителя и член совета директоров Заемщика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 Михаил Борисович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совета директоров Поручителя и член правления Заемщика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 Александр Александрович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совета директоров Поручителя и член совета директоров Заемщика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Кладков Алексей Юрьевич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совета директоров Поручителя и член правления Заемщика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 Игорь Михайлович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совета директоров Поручителя и член совета директоров Заемщика</w:t>
            </w:r>
          </w:p>
        </w:tc>
      </w:tr>
    </w:tbl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 по предоставлению ПАО Сбербанк (ОГРН 1027700132195, далее также – Кредитор, Банк) поручительства Общества в полном объеме в обеспечение исполнения всех обязательств Общества с ограниченной ответственностью Специализированный застройщик «Орелстрой-2» (ОГРН 1185749005496) (далее также – ООО «Специализированный застройщик «Орелстрой-2», Выгодоприобретатель) по испрашиваемому последним в банке кредиту с учетом заключения о крупной сделке от 01.10.2019 г., утвержденного Советом директоров на следующих условиях</w:t>
      </w: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>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Вид сделки:</w:t>
      </w: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поручительство;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>Условия Обязательств Выгодоприобретателя, в обеспечение которых может быть предоставлено поручительство: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 сделки: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</w:t>
      </w: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невозобновляемая</w:t>
      </w:r>
      <w:proofErr w:type="spellEnd"/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кредитная линия) 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Сумма финансирования (кредитный лимит):</w:t>
      </w: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Не более 343 000 000 (Триста сорок три миллиона) рублей 00 копеек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Цель финансирования:</w:t>
      </w: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Финансирования затрат по строительству многоквартирного дома по ул. Генерала Родина в г. Орле. Первый этап строительства (далее – «Объект»), в том числе, но не исключительно, для формирования покрытия по отзывному аккредитиву на оплату затрат на строительство Объекта в соответствии с Договором генерального подряда № 157-172 от 08 апреля 2019 г, заключенного с ПАО «Орелстрой» (далее – Генеральный подрядчик) (далее – Контракт) (далее – Проект).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Срок возврата кредита: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25.03.2022 г.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>График погашения кредита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214"/>
      </w:tblGrid>
      <w:tr w:rsidR="00EE56F5" w:rsidRPr="00EE56F5" w:rsidTr="00EE56F5">
        <w:trPr>
          <w:trHeight w:val="20"/>
        </w:trPr>
        <w:tc>
          <w:tcPr>
            <w:tcW w:w="85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Дата погашения</w:t>
            </w:r>
          </w:p>
        </w:tc>
        <w:tc>
          <w:tcPr>
            <w:tcW w:w="414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Размер платежа, рублей</w:t>
            </w:r>
          </w:p>
        </w:tc>
      </w:tr>
      <w:tr w:rsidR="00EE56F5" w:rsidRPr="00EE56F5" w:rsidTr="00EE56F5">
        <w:trPr>
          <w:trHeight w:val="20"/>
        </w:trPr>
        <w:tc>
          <w:tcPr>
            <w:tcW w:w="8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июня 2021 г.</w:t>
            </w:r>
          </w:p>
        </w:tc>
        <w:tc>
          <w:tcPr>
            <w:tcW w:w="414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271 782 000 (Двести семьдесят один миллион семьсот восемьдесят две тысячи) рублей 00 копеек</w:t>
            </w:r>
          </w:p>
        </w:tc>
      </w:tr>
      <w:tr w:rsidR="00EE56F5" w:rsidRPr="00EE56F5" w:rsidTr="00EE56F5">
        <w:trPr>
          <w:trHeight w:val="20"/>
        </w:trPr>
        <w:tc>
          <w:tcPr>
            <w:tcW w:w="8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сентября 2021 г.</w:t>
            </w:r>
          </w:p>
        </w:tc>
        <w:tc>
          <w:tcPr>
            <w:tcW w:w="414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31 729 000 (Тридцать один миллион семьсот двадцать девять тысяч) рублей 00 копеек</w:t>
            </w:r>
          </w:p>
        </w:tc>
      </w:tr>
      <w:tr w:rsidR="00EE56F5" w:rsidRPr="00EE56F5" w:rsidTr="00EE56F5">
        <w:trPr>
          <w:trHeight w:val="20"/>
        </w:trPr>
        <w:tc>
          <w:tcPr>
            <w:tcW w:w="8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декабря 2021 г.</w:t>
            </w:r>
          </w:p>
        </w:tc>
        <w:tc>
          <w:tcPr>
            <w:tcW w:w="414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29 420 000 (Двадцать девять миллионов четыреста двадцать тысяч) рублей 00 копеек</w:t>
            </w:r>
          </w:p>
        </w:tc>
      </w:tr>
      <w:tr w:rsidR="00EE56F5" w:rsidRPr="00EE56F5" w:rsidTr="00EE56F5">
        <w:trPr>
          <w:trHeight w:val="20"/>
        </w:trPr>
        <w:tc>
          <w:tcPr>
            <w:tcW w:w="8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марта 2022 г.</w:t>
            </w:r>
          </w:p>
        </w:tc>
        <w:tc>
          <w:tcPr>
            <w:tcW w:w="414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10 069 000 (Десять миллионов шестьдесят девять тысяч) рублей 00 копеек</w:t>
            </w:r>
          </w:p>
        </w:tc>
      </w:tr>
    </w:tbl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Процентная ставка:</w:t>
      </w: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По Договору устанавливается следующий порядок определения процентной ставки: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Процентная ставка определяется по формуле: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>A*I(a) + F*I(v) +(K-A-F)* I(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>i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>)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    I =     ------------------------------------------ 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                                        K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При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этом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>: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+ F &gt; K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A ≤ K,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то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I = (A*I(a) + (K-A)*I(v)) / K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где: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 –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льготная процентная ставка);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А – 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), открытых в   Банке;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I(а) –  специальная льготная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 за Расчетный период;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F – среднедневной остаток средств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, открытых в Банке в рамках Проекта, за Расчетный период;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I(v) –  специальная льготная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), открытых в Банке,  покрытый на 100% и более средствами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I(i) – первоначальная льготная процентная ставка – начисляется на объем кредита,  непокрытый средствами, находящимися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, открытых в Банке в рамках Проекта / на счетах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К –  среднедневной остаток задолженности по основному долгу по кредиту за Расчетный период.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I(а) устанавливается в размере 1,8, (Одна целая восемь десятых) процента годовых.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I(v) устанавливается в размере 5,0 (Пять) процентов годовых.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I(i) устанавливается в размере 8,50 (Восемь целых пять десятых) процентов годовых.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При прекращении Периода льготного кредитования, начиная с первого календарного дня календарного месяца, на который приходится Дата прекращения Периода льготного кредитования (включительно), Заемщик уплачивает Кредитору проценты за пользование кредитом в валюте кредита по средневзвешенной  Стандартной процентной ставке.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Процентная ставка определяется по формуле: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>A*I(a) + F*I(v) +(K-A-F)* I(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>i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) 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    I =     ------------------------------------------ 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                                        K 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При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этом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>: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+ F &gt; K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A ≤ K, </w:t>
      </w:r>
      <w:r w:rsidRPr="00EE56F5">
        <w:rPr>
          <w:rFonts w:ascii="Times New Roman" w:eastAsia="Times New Roman" w:hAnsi="Times New Roman" w:cs="Times New Roman"/>
          <w:sz w:val="20"/>
          <w:lang w:eastAsia="ru-RU"/>
        </w:rPr>
        <w:t>то</w:t>
      </w:r>
      <w:r w:rsidRPr="00EE56F5">
        <w:rPr>
          <w:rFonts w:ascii="Times New Roman" w:eastAsia="Times New Roman" w:hAnsi="Times New Roman" w:cs="Times New Roman"/>
          <w:sz w:val="20"/>
          <w:lang w:val="en-US" w:eastAsia="ru-RU"/>
        </w:rPr>
        <w:t xml:space="preserve"> I = (A*I(a) + (K-A)*I(v)) / K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где: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 – расчетное значение ставки по кредиту, используемое для определения ставки по кредиту, устанавливаемой на соответствующий процентный период (средневзвешенная стандартная процентная ставка);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А –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), открытых в Банке;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I(а) – специальная стандартная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 за Расчетный период;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F – среднедневной остаток средств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, открытых в Банке в рамках Проекта, за Расчетный период;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I(v) – специальная стандартная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), открытых в Банке, покрытый на 100% и более средствами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I(i) – первоначальная Стандартная процентная ставка – начисляется на объем кредита, непокрытый средствами, находящимися на счетах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эскроу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, открытых в Банке в рамках Проекта / на счетах покрытия по аккредитиву 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К – среднедневной остаток задолженности по основному долгу по кредиту за Расчетный период.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lastRenderedPageBreak/>
        <w:t>I(а) устанавливается в размере 1,8, (Одна целая восемь десятых) процента годовых.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I(v) устанавливается в размере 5,0 (Пять) процентов годовых.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I(i) устанавливается в размере 8,50 (Восемь целых пять десятых) процентов годовых.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ссудному(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ым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 счету(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ам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 (включительно), и по дату полного погашения кредита (включительно).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>Плата за пользование лимитом кредитной линии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0,13 (Ноль целых тринадцать сотых) процента(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ов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) годовых от свободного остатка лимита.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lang w:eastAsia="ru-RU"/>
        </w:rPr>
        <w:t>Дата оплаты процентов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Уплата процентов, начисленных за  период с даты заключения Договора по «28» февраля 2021 г.  «25» марта 2021 г. 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Уплата процентов  с «01» марта 2021 производится ежемесячно в даты уплаты процентов, указанные в таблице, и в дату окончательного погашения кредита.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Таблица Расчетного и Процентного периодов: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0"/>
        <w:gridCol w:w="2262"/>
      </w:tblGrid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Процентный период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уплаты процентов за Процентный период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января по «31» января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января по «31» января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февраля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февраля по «28» февраля/«29» февраля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февраля по «28» февраля/«29» февраля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марта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марта по «31» марта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марта по «31» марта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апреля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апреля по «30» апреля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апреля по «30» апреля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мая по «31» мая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мая по «31» мая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июня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июня по «30» июня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июня по «30» июня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июля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июля по «31» июля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июля по «31» июля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августа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августа по «31» августа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августа по «31» августа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сентября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сентября по «30» сентября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сентября по «30» сентября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октября по «31» октября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октября по «31» октября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ноября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ноября по «30» ноября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ноября по «30» ноября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декабря</w:t>
            </w:r>
          </w:p>
        </w:tc>
      </w:tr>
      <w:tr w:rsidR="00EE56F5" w:rsidRPr="00EE56F5" w:rsidTr="00EE56F5">
        <w:trPr>
          <w:trHeight w:val="20"/>
        </w:trPr>
        <w:tc>
          <w:tcPr>
            <w:tcW w:w="1785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декабря по «31» декабря</w:t>
            </w:r>
          </w:p>
        </w:tc>
        <w:tc>
          <w:tcPr>
            <w:tcW w:w="207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«01» декабря по «31» декабря</w:t>
            </w:r>
          </w:p>
        </w:tc>
        <w:tc>
          <w:tcPr>
            <w:tcW w:w="114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января</w:t>
            </w:r>
          </w:p>
        </w:tc>
      </w:tr>
    </w:tbl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- с взиманием иных платежей (комиссий, неустоек), определяемых уполномоченным на подписание заключаемого договора лицом Общества по согласованию с банком, 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- со сроками и порядками предоставления и возврата кредита (в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>. графиками выдачи и погашения кредита), определяемыми уполномоченным на подписание заключаемого договора лицом Общества по согласованию с банком);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- с включением в текст договора условий об обязанности предоставить в залог в обеспечение исполнения обязательств по сделке любое движимое/ недвижимое имущество/ имущественные права, принадлежащие Обществу (в том числе залог всего имущества, принадлежащего Обществу, а также залог любого имущества Общества, приобретенного в будущем по любым основаниям), на любых условиях, а также с включением в текст договора условий об обязанности предоставить любое обеспечение исполнения обязательств по сделке от третьих лиц (в </w:t>
      </w:r>
      <w:proofErr w:type="spellStart"/>
      <w:r w:rsidRPr="00EE56F5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Pr="00EE56F5">
        <w:rPr>
          <w:rFonts w:ascii="Times New Roman" w:eastAsia="Times New Roman" w:hAnsi="Times New Roman" w:cs="Times New Roman"/>
          <w:sz w:val="20"/>
          <w:lang w:eastAsia="ru-RU"/>
        </w:rPr>
        <w:t xml:space="preserve">. залог любого имущества, поручительства и гарантии) на усмотрение единоличного исполнительного органа Общества самостоятельно. </w:t>
      </w:r>
    </w:p>
    <w:p w:rsidR="00EE56F5" w:rsidRPr="00EE56F5" w:rsidRDefault="00EE56F5" w:rsidP="00EE5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lang w:eastAsia="ru-RU"/>
        </w:rPr>
        <w:t>- а также на иных условиях банка, предусмотренных кредитным договором.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условие договора поручительства о том, что поручитель выражает согласие на: изменение структуры обеспечения Кредитного договора (освобождении от залога части или всего имущества, исключение из числа поручителей любого из поручителей, прекращение независимой гарантии и т.п.). При этом, Поручитель обязуется отвечать перед Банком в том же объеме,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Заинтересованными в совершении указанной сделки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Наименование/ категория заинтересованного лица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Основания признания заинтересованным лицом 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«Орелстрой» (ОГРН: 1025700764363)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Является контролирующим лицом Заемщика (владеющим 100% долей в УК) и контролирующим лицом Поручителя (владеющим 72,9189 % акций)</w:t>
            </w:r>
          </w:p>
        </w:tc>
      </w:tr>
      <w:tr w:rsidR="00EE56F5" w:rsidRPr="00EE56F5" w:rsidTr="00EE56F5">
        <w:tc>
          <w:tcPr>
            <w:tcW w:w="171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Бавыкин Денис Валерьевич</w:t>
            </w:r>
          </w:p>
        </w:tc>
        <w:tc>
          <w:tcPr>
            <w:tcW w:w="328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Является единоличным исполнительным органом Заемщика и единоличным исполнительным органом Поручителя.</w:t>
            </w:r>
          </w:p>
        </w:tc>
      </w:tr>
    </w:tbl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 на заключение иного договора (иных договоров) поручительства по обязательствам Публичного акционерного общества «Орелстрой» (ОГРН 1025700764363) и застройщиков (специализированных застройщиков), которые в соответствии с положениями подпункта 1 статьи 2 Федерального закона от 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также – 214-ФЗ), являются дочерними по отношению к ПАО «Орелстрой», в том числе но не исключительно, перечисленные в Приложении 1, (далее совестно именуемые – Застройщики группы ПАО «Орелстрой», Выгодоприобретатели), связанным с получением Застройщиками группы ПАО «Орелстрой» целевых кредитов и/или займов, предоставляемых банковскими, финансовыми и иными организациями (далее именуемых – Инвесторами) на цели строительства жилых домов в рамках 214-ФЗ (далее также – Обязательств), на следующих существенных условиях: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 сделки: поручительство;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Условия Обязательств Выгодоприобретателей, в обеспечение которых может быть предоставлено поручительство: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511"/>
      </w:tblGrid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Сумма финансирования (совокупный кредитный лимит и/или совокупная сумма займа)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4 000 000 000 (Четырех миллиардов) рублей 00 копеек</w:t>
            </w:r>
          </w:p>
        </w:tc>
      </w:tr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финансирования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затрат на строительство жилых домов (объектов) на строительных площадках Выгодоприобретателей, в том числе на наполнение аккредитивов по расчёту Выгодоприобретателей с подрядчиками, привлекаемыми для работ на таких объектах.</w:t>
            </w:r>
          </w:p>
        </w:tc>
      </w:tr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финансирования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5 лет с момента заключения кредитного договора и/или договора займа</w:t>
            </w:r>
          </w:p>
        </w:tc>
      </w:tr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Процентная ставка (годовых), %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условиями кредитного договора (договоров) и/или договора (договоров) займа,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более </w:t>
            </w:r>
            <w:r w:rsidRPr="00EE56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Z</w:t>
            </w:r>
            <w:r w:rsidRPr="00EE56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* 2,3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ключевая ставка Банка России на дату заключения кредитного договора (договора займа) и / или предоставления кредита (займа)</w:t>
            </w:r>
          </w:p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процентной ставки может предусматривать, в том числе но не исключительно, условия, указанные в Приложении 2.</w:t>
            </w:r>
          </w:p>
        </w:tc>
      </w:tr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уплаты процентов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условиями кредитного договора (договоров) и/или договора (договоров) займа, но не более чем один раз в месяц и не менее чем один раз в три года.</w:t>
            </w:r>
          </w:p>
        </w:tc>
      </w:tr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резервирование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с условиями кредитного договора (договоров) и/или договора (договоров) займа, но не более </w:t>
            </w: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</w:t>
            </w:r>
            <w:r w:rsidRPr="00EE56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/ 3</w:t>
            </w: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% от остатка кредитного лимита.</w:t>
            </w:r>
          </w:p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EE56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Z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ключевая ставка Банка России на дату заключения кредитного договора (договора займа) и / или предоставления кредита (займа)</w:t>
            </w:r>
          </w:p>
        </w:tc>
      </w:tr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пользование лимитом кредитной линии / займа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с условиями кредитного договора (договоров) и/или договора (договоров) займа, но не более </w:t>
            </w:r>
            <w:r w:rsidRPr="00EE56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Z</w:t>
            </w:r>
            <w:r w:rsidRPr="00EE56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/ 3</w:t>
            </w: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% от остатка кредитного лимита.</w:t>
            </w:r>
          </w:p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EE56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Z</w:t>
            </w: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ключевая ставка Банка России на дату заключения кредитного договора (договора займа) и / или предоставления кредита (займа)</w:t>
            </w: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E56F5" w:rsidRPr="00EE56F5" w:rsidTr="00EE56F5">
        <w:tc>
          <w:tcPr>
            <w:tcW w:w="12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действия лимита</w:t>
            </w:r>
          </w:p>
        </w:tc>
        <w:tc>
          <w:tcPr>
            <w:tcW w:w="378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3 лет с момента заключения кредитного договора и/или договора займа</w:t>
            </w:r>
          </w:p>
        </w:tc>
      </w:tr>
      <w:tr w:rsidR="00EE56F5" w:rsidRPr="00EE56F5" w:rsidTr="00EE56F5">
        <w:tc>
          <w:tcPr>
            <w:tcW w:w="50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6F5" w:rsidRPr="00EE56F5" w:rsidRDefault="00EE56F5" w:rsidP="00EE56F5">
            <w:pPr>
              <w:tabs>
                <w:tab w:val="left" w:pos="226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с взиманием иных платежей (в </w:t>
            </w:r>
            <w:proofErr w:type="spellStart"/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комиссий, неустоек), определяемых уполномоченным на подписание заключаемого договора лицом Выгодоприобретателя по согласованию с Инвестором;</w:t>
            </w:r>
          </w:p>
          <w:p w:rsidR="00EE56F5" w:rsidRPr="00EE56F5" w:rsidRDefault="00EE56F5" w:rsidP="00EE56F5">
            <w:pPr>
              <w:tabs>
                <w:tab w:val="left" w:pos="226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со сроками и порядками предоставления и возврата кредита / займа (в </w:t>
            </w:r>
            <w:proofErr w:type="spellStart"/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графиками выдачи и погашения кредита / займа), определяемыми уполномоченным на подписание заключаемого договора лицом Выгодоприобретателя по согласованию с Инвестором;</w:t>
            </w:r>
          </w:p>
          <w:p w:rsidR="00EE56F5" w:rsidRPr="00EE56F5" w:rsidRDefault="00EE56F5" w:rsidP="00EE56F5">
            <w:pPr>
              <w:tabs>
                <w:tab w:val="left" w:pos="226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а так же иных условиях Инвестора в соответствии с договором.</w:t>
            </w:r>
          </w:p>
        </w:tc>
      </w:tr>
    </w:tbl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Цена сделки (совокупности сделок): не более 5 000 000 000 (Пяти миллиардов) рублей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 поручительства: на период действия кредитного договора (договоров) и/или договора (договоров) займа (срок финансирования), до полного исполнения обязательств Выгодоприобретателем, но не выходящий за 31.12.2029 г. (включительно).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Обязательства, исполнение которых обеспечивается поручительством, включают в том числе, но не исключительно:</w:t>
      </w:r>
    </w:p>
    <w:p w:rsidR="00EE56F5" w:rsidRPr="00EE56F5" w:rsidRDefault="00EE56F5" w:rsidP="00EE56F5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обязательства по погашению основного долга;</w:t>
      </w:r>
    </w:p>
    <w:p w:rsidR="00EE56F5" w:rsidRPr="00EE56F5" w:rsidRDefault="00EE56F5" w:rsidP="00EE56F5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обязательства по уплате процентов за пользование кредитом (займом) и других платежей по кредитному договору (договорам) и/или договору (договорам) займа;</w:t>
      </w:r>
    </w:p>
    <w:p w:rsidR="00EE56F5" w:rsidRPr="00EE56F5" w:rsidRDefault="00EE56F5" w:rsidP="00EE56F5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обязательства по уплате неустоек;</w:t>
      </w:r>
    </w:p>
    <w:p w:rsidR="00EE56F5" w:rsidRPr="00EE56F5" w:rsidRDefault="00EE56F5" w:rsidP="00EE56F5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возмещение судебных и иных расходов, связанных с реализацией прав по кредитному договору (договорам) / договору (договора) займа и договору (договорам) поручительства;</w:t>
      </w:r>
    </w:p>
    <w:p w:rsidR="00EE56F5" w:rsidRPr="00EE56F5" w:rsidRDefault="00EE56F5" w:rsidP="00EE56F5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возврат суммы кредита / займа по кредитному договору (договорам) / договору (договорам) займа и процентов за пользование чужими денежными средствами, начисленных в соответствии со ст. 395 Гражданского кодекса Российской Федерации, при недействительности кредитного договора (договоров) / договора (договоров) займа или признании кредитного договора (договоров) / договора (договоров) займа незаключенным.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Заинтересованными с совершении сделки (совокупности сделок) являются (могут являться):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 лицо, контролирующее Общество (Публичного акционерного обществом «Орелстрой» (ОГРН: 1025700764363; далее также – ПАО «Орелстрой»)):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- директор Общества – Бавыкин Денис Валерьевич, занимающий должности в органах управления Выгодоприобретателя (Выгодоприобретателей);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члены Совета директоров Общества – Рогачев Александр Александрович,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Умаров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Расул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Рамзанович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, Шереметьев Игорь Михайлович, Кладков Алексей Юрьевич, Круглов Михаил Борисович, Репин Анатолий Иванович, Сучков Дмитрий Сергеевич, занимающие должности в органах управления Выгодоприобретателя (Выгодоприобретателей);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Рогачев Александр Александрович,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Умаров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Расул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Рамзанович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Строев Егор Семенович, Шереметьев Игорь Михайлович, Кладков Алексей Юрьевич, Круглов Михаил Борисович, Репин Анатолий Иванович, Урванов Андрей Викторович, Балухтин Владимир Александрович, Хренов Михаил Владимирович, </w:t>
      </w:r>
      <w:proofErr w:type="spellStart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Гершгорин</w:t>
      </w:r>
      <w:proofErr w:type="spellEnd"/>
      <w:r w:rsidRPr="00EE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Владимирович, Игнатов Дмитрий Владимирович, Никитин Олег Анатольевич, Поляков Юрий Владимирович, Таболин Артем Владимирович, Общество с ограниченной ответственностью «Объединенная Домостроительная Корпорация» (ОГРН 1185749001822), в случае если они будут контролирующим лицом юридического лица, являющегося стороной, выгодоприобретателем, посредником или представителем в сделке и / или будут занимать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лица;</w:t>
      </w: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56F5" w:rsidRPr="00EE56F5" w:rsidRDefault="00EE56F5" w:rsidP="00EE56F5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Наделить Директора АО «Жилстрой» правом заключить договор (договоры) поручительства с Кредитором / Инвестором в рамках согласованных выше условий.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56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 срок действия настоящего решения общего собрания акционеров (срок на возможность заключения договоров поручительства с Кредитором / Инвестором в рамках вышеуказанных условий) – с момента принятия настоящего решения до 31.12.2022 г. (включительно).</w:t>
      </w:r>
    </w:p>
    <w:p w:rsid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1128AC" w:rsidRPr="00323BC9" w:rsidRDefault="001128AC" w:rsidP="001128AC">
      <w:pPr>
        <w:pStyle w:val="af1"/>
        <w:spacing w:after="0"/>
        <w:jc w:val="both"/>
      </w:pPr>
      <w:r w:rsidRPr="00323BC9">
        <w:t>Приложения:</w:t>
      </w:r>
    </w:p>
    <w:p w:rsidR="001128AC" w:rsidRPr="00323BC9" w:rsidRDefault="001128AC" w:rsidP="001128AC">
      <w:pPr>
        <w:pStyle w:val="af1"/>
        <w:spacing w:after="0"/>
        <w:jc w:val="both"/>
      </w:pPr>
      <w:r w:rsidRPr="00323BC9">
        <w:t>- Приложение 1 - Перечень застройщиков (специализированных застройщиков).</w:t>
      </w:r>
    </w:p>
    <w:p w:rsidR="001128AC" w:rsidRPr="00323BC9" w:rsidRDefault="001128AC" w:rsidP="001128AC">
      <w:pPr>
        <w:pStyle w:val="af1"/>
        <w:spacing w:after="0"/>
        <w:jc w:val="both"/>
      </w:pPr>
      <w:r w:rsidRPr="00323BC9">
        <w:t>- Приложение 2 - Варианты расчета процентных ставок.</w:t>
      </w:r>
    </w:p>
    <w:p w:rsidR="004E1561" w:rsidRPr="008A2D91" w:rsidRDefault="004E156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490999" w:rsidRPr="00490999" w:rsidRDefault="00490999" w:rsidP="0049099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D7" w:rsidRDefault="002A23B8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="00EE56F5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</w:p>
    <w:p w:rsidR="002A23B8" w:rsidRPr="002A23B8" w:rsidRDefault="001B00D7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Д.В.Бавыкин</w:t>
      </w:r>
      <w:proofErr w:type="spellEnd"/>
    </w:p>
    <w:p w:rsidR="001B00D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D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B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</w:t>
      </w:r>
    </w:p>
    <w:p w:rsidR="002216E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 Голуб</w:t>
      </w:r>
    </w:p>
    <w:p w:rsidR="00C42653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53" w:rsidRPr="00932237" w:rsidRDefault="00C42653" w:rsidP="00C42653">
      <w:pPr>
        <w:jc w:val="both"/>
        <w:rPr>
          <w:rFonts w:ascii="Times New Roman" w:hAnsi="Times New Roman" w:cs="Times New Roman"/>
          <w:sz w:val="24"/>
          <w:szCs w:val="24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EE56F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6F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237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1128AC" w:rsidRDefault="00112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8AC" w:rsidRPr="00323BC9" w:rsidRDefault="001128AC" w:rsidP="001128A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Приложение 1 </w:t>
      </w:r>
    </w:p>
    <w:p w:rsidR="001128AC" w:rsidRPr="00323BC9" w:rsidRDefault="001128AC" w:rsidP="001128AC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Протоколу внеочередного общего собрания акционеров АО «Жилстрой», состоявшемуся 06.11.2019 г. (Протокол б/н от 06.11.2019 г.)</w:t>
      </w:r>
    </w:p>
    <w:p w:rsidR="001128AC" w:rsidRPr="00323BC9" w:rsidRDefault="001128AC" w:rsidP="00112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застройщиков (специализированных застройщиков)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  <w:gridCol w:w="1300"/>
      </w:tblGrid>
      <w:tr w:rsidR="001128AC" w:rsidRPr="00323BC9" w:rsidTr="009D5668">
        <w:tc>
          <w:tcPr>
            <w:tcW w:w="4344" w:type="pct"/>
            <w:tcMar>
              <w:left w:w="28" w:type="dxa"/>
              <w:right w:w="28" w:type="dxa"/>
            </w:tcMar>
          </w:tcPr>
          <w:p w:rsidR="001128AC" w:rsidRPr="00323BC9" w:rsidRDefault="001128AC" w:rsidP="009D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компании</w:t>
            </w:r>
          </w:p>
        </w:tc>
        <w:tc>
          <w:tcPr>
            <w:tcW w:w="656" w:type="pct"/>
            <w:tcMar>
              <w:left w:w="28" w:type="dxa"/>
              <w:right w:w="28" w:type="dxa"/>
            </w:tcMar>
          </w:tcPr>
          <w:p w:rsidR="001128AC" w:rsidRPr="00323BC9" w:rsidRDefault="001128AC" w:rsidP="009D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ИНН/ОГРН</w:t>
            </w:r>
          </w:p>
        </w:tc>
      </w:tr>
      <w:tr w:rsidR="001128AC" w:rsidRPr="00323BC9" w:rsidTr="009D5668">
        <w:tc>
          <w:tcPr>
            <w:tcW w:w="4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«Специализированный застройщик «Орелстрой-1»</w:t>
            </w:r>
          </w:p>
        </w:tc>
        <w:tc>
          <w:tcPr>
            <w:tcW w:w="6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1185749001569</w:t>
            </w:r>
          </w:p>
        </w:tc>
      </w:tr>
      <w:tr w:rsidR="001128AC" w:rsidRPr="00323BC9" w:rsidTr="009D5668">
        <w:tc>
          <w:tcPr>
            <w:tcW w:w="4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«Специализированный застройщик «Орелстрой-2»</w:t>
            </w:r>
          </w:p>
        </w:tc>
        <w:tc>
          <w:tcPr>
            <w:tcW w:w="6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1185749005496</w:t>
            </w:r>
          </w:p>
        </w:tc>
      </w:tr>
      <w:tr w:rsidR="001128AC" w:rsidRPr="00323BC9" w:rsidTr="009D5668">
        <w:tc>
          <w:tcPr>
            <w:tcW w:w="4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«Специализированный застройщик «Орелстрой-3»</w:t>
            </w:r>
          </w:p>
        </w:tc>
        <w:tc>
          <w:tcPr>
            <w:tcW w:w="6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1185749005507</w:t>
            </w:r>
          </w:p>
        </w:tc>
      </w:tr>
      <w:tr w:rsidR="001128AC" w:rsidRPr="00323BC9" w:rsidTr="009D5668">
        <w:tc>
          <w:tcPr>
            <w:tcW w:w="4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«Специализированный застройщик «Орелстрой-4»</w:t>
            </w:r>
          </w:p>
        </w:tc>
        <w:tc>
          <w:tcPr>
            <w:tcW w:w="6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1195749002239</w:t>
            </w:r>
          </w:p>
        </w:tc>
      </w:tr>
      <w:tr w:rsidR="001128AC" w:rsidRPr="00323BC9" w:rsidTr="009D5668">
        <w:tc>
          <w:tcPr>
            <w:tcW w:w="4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«Специализированный застройщик «Орелстрой-Л1»</w:t>
            </w:r>
          </w:p>
        </w:tc>
        <w:tc>
          <w:tcPr>
            <w:tcW w:w="6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1194827005405</w:t>
            </w:r>
          </w:p>
        </w:tc>
      </w:tr>
      <w:tr w:rsidR="001128AC" w:rsidRPr="00323BC9" w:rsidTr="009D5668">
        <w:tc>
          <w:tcPr>
            <w:tcW w:w="4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«Специализированный застройщик «Орелстрой-Л2»</w:t>
            </w:r>
          </w:p>
        </w:tc>
        <w:tc>
          <w:tcPr>
            <w:tcW w:w="6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1194827005372</w:t>
            </w:r>
          </w:p>
        </w:tc>
      </w:tr>
      <w:tr w:rsidR="001128AC" w:rsidRPr="00323BC9" w:rsidTr="009D5668">
        <w:tc>
          <w:tcPr>
            <w:tcW w:w="4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Иные, соответствующие требованиям 214-ФЗ дочерние по отношению к Публичному акционерному обществу «Орелстрой» (ОГРН 1025700764363) застройщики (специализированные застройщики), содержащие в наименовании слова «Специализированный застройщик «Орелстрой »</w:t>
            </w:r>
          </w:p>
        </w:tc>
        <w:tc>
          <w:tcPr>
            <w:tcW w:w="6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8AC" w:rsidRPr="00323BC9" w:rsidRDefault="001128AC" w:rsidP="009D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28AC" w:rsidRPr="00323BC9" w:rsidRDefault="001128AC" w:rsidP="001128A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128AC" w:rsidRPr="00323BC9" w:rsidRDefault="001128AC" w:rsidP="001128A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128AC" w:rsidRPr="00323BC9" w:rsidRDefault="001128AC" w:rsidP="001128A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2</w:t>
      </w:r>
    </w:p>
    <w:p w:rsidR="001128AC" w:rsidRPr="00323BC9" w:rsidRDefault="001128AC" w:rsidP="001128AC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Протоколу внеочередного общего собрания акционеров АО «Жилстрой», состоявшемуся 06.11.2019 г. (Протокол б/н от 06.11.2019 г.)</w:t>
      </w:r>
    </w:p>
    <w:p w:rsidR="001128AC" w:rsidRPr="00323BC9" w:rsidRDefault="001128AC" w:rsidP="001128AC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Варианты расчета процентных ставок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Вариант: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Период льготного кредитования (в период субсидирования Инвестора) в рамках Программы Заемщик уплачивает Инвестору проценты за пользование кредитом в валюте кредита по Льготной процентной ставке.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Процентная ставка определяется по формуле: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A*I(a) + F*I(v) +(K-A-F)* I(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                         </w:t>
      </w:r>
    </w:p>
    <w:p w:rsidR="001128AC" w:rsidRPr="00323BC9" w:rsidRDefault="001128AC" w:rsidP="00112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I =     ------------------------------------------ </w:t>
      </w:r>
    </w:p>
    <w:p w:rsidR="001128AC" w:rsidRPr="00323BC9" w:rsidRDefault="001128AC" w:rsidP="00112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K                              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этом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+ F &gt; K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 ≤ K,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 = (A*I(a) + (K-A)*I(v)) / K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 – 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льготная процентная ставка);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 – 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), открытых в   Банке;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I(а) –  специальная льготная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 Расчетный период;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F – среднедневной остаток средств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Проекта, за Расчетный период;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I(v) –  специальная льготная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открытых в Банке,  покрытый на 100% и более средствами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Проекта,</w:t>
      </w:r>
      <w:r w:rsidRPr="00323BC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за Расчетный период,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I(v) </w:t>
      </w:r>
      <w:r w:rsidRPr="00323BC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рассчитывается с учетом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трансфертного дохода по счетам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I(i) – первоначальная льготная процентная ставка – начисляется на объем кредита,  непокрытый средствами, находящимися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 /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К –  среднедневной остаток задолженности по основному долгу по кредиту за Расчетный период.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I(а) устанавливается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Z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I(v) устанавливается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I(i) устанавливается в размере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прекращении Периода льготного кредитования, начиная с первого календарного дня календарного месяца, на который приходится Дата прекращения Периода льготного кредитования (включительно), Заемщик уплачивает Инвестору проценты за пользование кредитом в валюте кредита по средневзвешенной  Стандартной процентной ставке.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Процентная ставка определяется по формуле: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A*I(a) + F*I(v) +(K-A-F)* I(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                         </w:t>
      </w:r>
    </w:p>
    <w:p w:rsidR="001128AC" w:rsidRPr="00323BC9" w:rsidRDefault="001128AC" w:rsidP="00112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I =     ------------------------------------------ </w:t>
      </w:r>
    </w:p>
    <w:p w:rsidR="001128AC" w:rsidRPr="00323BC9" w:rsidRDefault="001128AC" w:rsidP="00112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K                              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этом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+ F &gt; K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 ≤ K,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 = (A*I(a) + (K-A)*I(v)) / K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 – 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стандартная процентная ставка);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 – 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), открытых в   Банке;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I(а) –  специальная стандартная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 Расчетный период;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F – среднедневной остаток средств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Проекта, за Расчетный период;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I(v) –  специальная стандартная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открытых в Банке,  покрытый на 100% и более средствами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Проекта,</w:t>
      </w:r>
      <w:r w:rsidRPr="00323BC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за Расчетный период,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I(v) </w:t>
      </w:r>
      <w:r w:rsidRPr="00323BC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рассчитывается с учетом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трансфертного дохода по счетам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I(i) – первоначальная Стандартная процентная ставка – начисляется на объем кредита,  непокрытый средствами, находящимися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 /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 –  среднедневной остаток задолженности по основному долгу по кредиту за Расчетный период.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I(а) устанавливается в размере не более 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I(v) устанавливается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I(i) устанавливается в размере не более 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годовых за период  с первого календарного дня, следующего за Датой прекращения действия Программы по дату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случае, если дата прекращения действия Программы приходится на период до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годовых за период со дня, следующего за Датой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дату полного погашения кредита (в случае, если дата прекращения действия Программы приходится на период до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/ с первого календарного дня, следующего за Датой прекращения действия Программы по дату полного погашения кредита (в случае, если дата прекращения действия Программы приходится на период после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ссудному(</w:t>
      </w: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счету(</w:t>
      </w: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(включительно), и по дату полного погашения кредита (включительно).</w:t>
      </w:r>
    </w:p>
    <w:p w:rsidR="001128AC" w:rsidRPr="00323BC9" w:rsidRDefault="001128AC" w:rsidP="001128AC">
      <w:pPr>
        <w:widowControl w:val="0"/>
        <w:tabs>
          <w:tab w:val="left" w:pos="99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Уплата процентов, начисленных за  период с даты заключения Договора по дату окончания периода действия лимита ( включительно)   производится в срок не более 30 календарных дней с даты окончания периода действия лимита (включительно).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Уплата процентов  со дня, следующим за датой окончания периода действия лимита (включительно)  производится ежемесячно  в даты уплаты процентов, указанные в таблице, и в дату окончательного погашения кредита.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Расчетного и Процентного периодов: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4046"/>
        <w:gridCol w:w="2083"/>
      </w:tblGrid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Расчетный период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Процентный период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уплаты процентов за Процентный период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января по «31» января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января по «31» января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февраля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февраля по «28» февраля/«29» февраля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февраля по «28» февраля/«29» февраля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марта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марта по «31» марта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марта по «31» марта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апреля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апреля по «30» апреля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апреля по «30» апреля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мая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мая по «31» мая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мая по «31» мая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июня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июня по «30» июня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июня по «30» июня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июля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июля по «31» июля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июля по «31» июля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августа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августа по «31» августа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августа по «31» августа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сентября по «30» сентября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сентября по «30» сентября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октября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октября по «31» октября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октября по «31» октября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ноября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ноября по «30» ноября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ноября по «30» ноября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декабря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декабря по «31» декабря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декабря по «31» декабря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января</w:t>
            </w:r>
          </w:p>
        </w:tc>
      </w:tr>
    </w:tbl>
    <w:p w:rsidR="001128AC" w:rsidRPr="00323BC9" w:rsidRDefault="001128AC" w:rsidP="001128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Вариант: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Процентная ставка определяется по формуле: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A*I(a) + F*I(v) +(K-A-F)* I(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                        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I =     ------------------------------------------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K                              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этом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+ F &gt; K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 ≤ K,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 = (A*I(a) + (K-A)*I(v)) / K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 –  расчетное значение ставки по кредиту, используемое для определения ставки по кредиту, устанавливаемой на соответствующий процентный период (средневзвешенная я процентная ставка);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 – 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), открытых в   Банке;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I(а) –  специальная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 Расчетный период;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F – среднедневной остаток средств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Проекта, за Расчетный период;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I(v) –  специальная процентная ставка – начисляется на среднедневной остаток задолжен-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ности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открытых в Банке, покрытый на 100% (Сто процентов) и более средствами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I(i) – базовая процентная ставка – начисляется на объем кредита, непокрытый средствами, находящимися на счетах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открытых в Банке в рамках Проекта / на счетах покрытия по аккредитиву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К –  среднедневной остаток задолженности по основному долгу по кредиту за Расчетный период.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I(а) устанавливается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годовых за период с даты выдачи кредита (не включая эту дату) по дату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включительно. 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I(v) устанавливается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 за период с даты выдачи кредита (не включая эту дату) по дату раскрытия счетов эс-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включительно.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I(i) устанавливается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годовых за период с даты выдачи кредита (не включая эту дату) по дату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включительно,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годовых за период с даты раскрытия счетов 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эскроу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включительно по дату полного погашения, указанную в п. 6.1 Договора (включительно).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ссудному(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ым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счету(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(включительно), и по дату полного погашения кредита (включительно).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Уплата процентов, начисленных за период с даты заключения Договора по 26.07.2022г.  производится 26.07.2022г.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Уплата процентов в период с 27.07.2022г. по дату окончательного погашения Договора  производится ежемесячно «27» числа каждого календарного месяца и в дату окончательного погашения кредита по установленной в соответствии с п. 4.1.1 Договора Средневзвешенной процентной ставке.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ссудному(</w:t>
      </w: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счету(</w:t>
      </w: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(включительно), и по дату полного погашения кредита (включительно).</w:t>
      </w:r>
    </w:p>
    <w:p w:rsidR="001128AC" w:rsidRPr="00323BC9" w:rsidRDefault="001128AC" w:rsidP="001128AC">
      <w:pPr>
        <w:widowControl w:val="0"/>
        <w:tabs>
          <w:tab w:val="left" w:pos="99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Уплата процентов, начисленных за  период с даты заключения Договора по дату окончания периода действия лимита (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включительно)   производится в срок не более 30 календарных дней с даты окончания периода действия лимита (включительно).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Уплата процентов  со дня, следующим за датой окончания периода действия лимита (включительно)  производится ежемесячно  в даты уплаты процентов, указанные в таблице, и в дату окончательного погашения кредита.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Расчетного и Процентного периодов: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121"/>
        <w:gridCol w:w="1986"/>
      </w:tblGrid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период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Процентный период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уплаты процентов за Процентный период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января по «31» января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января по «31» января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февраля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февраля по «28» февраля/«29» февраля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февраля по «28» февраля/«29» февраля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марта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марта по «31» марта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марта по «31» марта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апреля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апреля по «30» апреля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апреля по «30» апреля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мая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мая по «31» мая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мая по «31» мая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июня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июня по «30» июня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июня по «30» июня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июля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июля по «31» июля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июля по «31» июля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августа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августа по «31» августа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августа по «31» августа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сентября по «30» сентября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сентября по «30» сентября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октября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октября по «31» октября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октября по «31» октября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ноября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ноября по «30» ноября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ноября по «30» ноября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декабря</w:t>
            </w:r>
          </w:p>
        </w:tc>
      </w:tr>
      <w:tr w:rsidR="001128AC" w:rsidRPr="00323BC9" w:rsidTr="009D5668">
        <w:trPr>
          <w:trHeight w:val="20"/>
        </w:trPr>
        <w:tc>
          <w:tcPr>
            <w:tcW w:w="191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декабря по «31» декабря</w:t>
            </w:r>
          </w:p>
        </w:tc>
        <w:tc>
          <w:tcPr>
            <w:tcW w:w="2079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«01» декабря по «31» декабря</w:t>
            </w:r>
          </w:p>
        </w:tc>
        <w:tc>
          <w:tcPr>
            <w:tcW w:w="1002" w:type="pct"/>
            <w:tcMar>
              <w:left w:w="28" w:type="dxa"/>
              <w:right w:w="28" w:type="dxa"/>
            </w:tcMar>
            <w:hideMark/>
          </w:tcPr>
          <w:p w:rsidR="001128AC" w:rsidRPr="00323BC9" w:rsidRDefault="001128AC" w:rsidP="009D56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января</w:t>
            </w:r>
          </w:p>
        </w:tc>
      </w:tr>
    </w:tbl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Вариант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Период льготного кредитования (в период субсидирования Инвестора) в рамках Программы Заемщик уплачивает Инвестору проценты за пользование кредитом в валюте кредита по Льготной процентной ставке.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ЗАЕМЩИК уплачивает ИНВЕСТОРУ проценты за пользование кредитом по Средневзвешенной Льготной процентной ставке, которая определяется следующим образом: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Процентная ставка по Договору на момент предоставления кредита составляет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именуется в дальнейшем “первоначальная Льготная процентная ставка”.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период пользования кредитными ресурсами с даты заключения  Договора (не включая эту дату) по дату открытия Аккредитива (включительно),устанавливается первоначальная Льготная процентная ставка.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период пользования кредитными ресурсами с даты открытия Аккредитива (не включая эту дату), по дату полного списания средств со счета покрытия у ИНВЕСТОРА по Аккредитиву, за пользование кредитными ресурсами ЗАЕМЩИК уплачивает ИНВЕСТОРУ проценты по Средневзвешенной Льготной процентной ставке, размер которой определяется на основе расчета.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 Средневзвешенной Льготной процентной ставки производится по всей сумме задолженности по кредиту исходя из: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объёма кредитных ресурсов, находящихся на счете покрытия по Аккредитиву, открытому у ИНВЕСТОРА, по Специальной льготной процентной ставке, составляющей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остатка ссудной задолженности, уменьшенного на объём ресурсов, находящихся на счете покрытия по Аккредитиву, открытому у ИНВЕСТОРА, по первоначальной Льготной процентной ставке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этом применяется следующая формула расчета Средневзвешенной Льготной процентной ставки:</w:t>
      </w:r>
    </w:p>
    <w:p w:rsidR="001128AC" w:rsidRPr="00323BC9" w:rsidRDefault="001128AC" w:rsidP="001128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SrSt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= (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n1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*</w:t>
      </w:r>
      <w:proofErr w:type="spellStart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SpSt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+ (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-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n1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)*</w:t>
      </w:r>
      <w:proofErr w:type="spellStart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DnSt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)/ 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,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SrSt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Средневзвешенная Льготная процентная ставка по кредиту;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DnSt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первоначальная Льготная процентная ставка;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SpSt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Специальная льготная процентная ставка по кредиту;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- кредитные ресурсы, находящиеся на счете покрытия по Аккредитиву, открытом у ИНВЕСТОРА;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общая сумма задолженности по кредиту.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этом если общая сумма ссудной задолженности меньше остатка средств на счете покрытия по Аккредитиву (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&lt;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на указанную сумму ссудной задолженности начисляется Специальная льготная процентная ставка.</w:t>
      </w:r>
    </w:p>
    <w:p w:rsidR="001128AC" w:rsidRPr="00323BC9" w:rsidRDefault="001128AC" w:rsidP="001128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периода действия Средневзвешенной льготной процентной ставки изменение процентной ставки производится ИНВЕСТОРОМ при изменении общей суммы задолженности по кредиту, первоначальной Льготной и/или Специальной льготной процентных ставок по кредиту, размера кредитных ресурсов, находящихся на счете покрытия по Аккредитиву, со следующего дня с даты  наступления любого из вышеуказанных событий.</w:t>
      </w:r>
    </w:p>
    <w:p w:rsidR="001128AC" w:rsidRPr="00323BC9" w:rsidRDefault="001128AC" w:rsidP="001128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Средневзвешенная Льготная процентная устанавливается без заключения дополнительного соглашения путем письменного уведомления ИНВЕСТОРОМ ЗАЕМЩИКА об установленном размере Средневзвешенной льготной процентной ставки.</w:t>
      </w:r>
    </w:p>
    <w:p w:rsidR="001128AC" w:rsidRPr="00323BC9" w:rsidRDefault="001128AC" w:rsidP="001128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Уведомление о размере Средневзвешенной Льготной процентной ставки с порядком ее расчета направляется ИНВЕСТОРОМ в адрес ЗАЕМЩИКА в течение 3 (Трех) рабочих дней с даты изменения размера Средневзвешенной Льготной процентной ставки.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ЗАЕМЩИК обязан производить уплату процентов по ставке, определяемой в соответствии с условиями Договора, вне зависимости от факта получения ЗАЕМЩИКОМ уведомления ИНВЕСТОРА.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период пользования кредитными ресурсами с даты полного списания средств со счета покрытия у ИНВЕСТОРА по Аккредитиву (не включая эту дату), по дату погашения задолженности по Договору (включительно) устанавливается первоначальная Льготная процентная ставка.».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4.1.2. При прекращении Периода льготного кредитования, начиная с первого календарного дня календарного месяца, на который приходится Дата прекращения Периода льготного кредитования (включительно), Заемщик уплачивает Инвестору проценты за пользование кредитом в валюте кредита по средневзвешенной Стандартной процентной ставке.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ЗАЕМЩИК уплачивает ИНВЕСТОРУ проценты за пользование кредитом по Средневзвешенной Стандартной процентной ставке, которая определяется следующим образом: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Процентная ставка по Договору на момент предоставления кредита составляет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именуется в дальнейшем “первоначальная Стандартная процентная ставка”.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период пользования кредитными ресурсами с даты заключения Договора (не включая эту дату) по дату открытия Аккредитива (включительно), устанавливается первоначальная Стандартная процентная ставка.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период пользования кредитными ресурсами с даты открытия Аккредитива (не включая эту дату), по дату полного списания средств со счета покрытия у ИНВЕСТОРА по Аккредитиву, за пользование кредитными ресурсами ЗАЕМЩИК уплачивает ИНВЕСТОРУ проценты по Средневзвешенной Стандартной процентной ставке, размер которой определяется на основе расчета.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 Средневзвешенной Стандартной процентной ставки производится по всей сумме задолженности по кредиту исходя из: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объёма кредитных ресурсов, находящихся на счете покрытия по Аккредитиву, открытому у ИНВЕСТОРА, по Специальной стандартной процентной ставке,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б) остатка ссудной задолженности, уменьшенного на объём ресурсов, находящихся на счете покрытия по Аккредитиву,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открытому у ИНВЕСТОРА, по первоначальной Стандартной процентной ставке,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размере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этом применяется следующая формула расчета Средневзвешенной Стандартной процентной ставки:</w:t>
      </w:r>
    </w:p>
    <w:p w:rsidR="001128AC" w:rsidRPr="00323BC9" w:rsidRDefault="001128AC" w:rsidP="001128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SrSt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= (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n1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*</w:t>
      </w:r>
      <w:proofErr w:type="spellStart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SpSt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+ (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-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n1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)*</w:t>
      </w:r>
      <w:proofErr w:type="spellStart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DnSt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)/ 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,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SrSt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Средневзвешенная Стандартная процентная ставка по кредиту;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DnSt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первоначальная Стандартная процентная ставка по кредиту;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SpSt</w:t>
      </w:r>
      <w:proofErr w:type="spellEnd"/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Специальная стандартная процентная ставка по кредиту;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- кредитные ресурсы, находящиеся на счете покрытия по Аккредитиву, открытом у ИНВЕСТОРА; 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- общая сумма задолженности по кредиту.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этом если общая сумма ссудной задолженности меньше остатка средств на счете покрытия по Аккредитиву (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&lt; 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на указанную сумму ссудной задолженности начисляется Специальная стандартная процентная ставка.</w:t>
      </w:r>
    </w:p>
    <w:p w:rsidR="001128AC" w:rsidRPr="00323BC9" w:rsidRDefault="001128AC" w:rsidP="001128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периода действия Средневзвешенной Стандартной процентной ставки изменение процентной ставки производится ИНВЕСТОРОМ при изменении общей суммы задолженности по кредиту, первоначальной Стандартной и/или Специальной стандартной процентных ставок по кредиту, размера кредитных ресурсов, находящихся на счете покрытия по Аккредитиву, со следующего дня с даты  наступления любого из вышеуказанных событий.</w:t>
      </w:r>
    </w:p>
    <w:p w:rsidR="001128AC" w:rsidRPr="00323BC9" w:rsidRDefault="001128AC" w:rsidP="001128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Средневзвешенная Стандартной процентная ставка устанавливается без заключения дополнительного соглашения путем письменного уведомления ИНВЕСТОРОМ ЗАЕМЩИКА об установленном размере Средневзвешенной Стандартной процентной ставки.</w:t>
      </w:r>
    </w:p>
    <w:p w:rsidR="001128AC" w:rsidRPr="00323BC9" w:rsidRDefault="001128AC" w:rsidP="001128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Уведомление о размере Средневзвешенной Стандартной процентной ставки с порядком ее расчета направляется ИНВЕСТОРОМ в адрес ЗАЕМЩИКА в течение 3 (Трех) рабочих дней с даты изменения размера Средневзвешенной Стандартной процентной ставки.</w:t>
      </w:r>
    </w:p>
    <w:p w:rsidR="001128AC" w:rsidRPr="00323BC9" w:rsidRDefault="001128AC" w:rsidP="00112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ЗАЕМЩИК обязан производить уплату процентов по ставке, определяемой в соответствии с условиями Договора, вне зависимости от факта получения ЗАЕМЩИКОМ уведомления ИНВЕСТОРА.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период пользования кредитными ресурсами с даты полного списания средств со счета покрытия у ИНВЕСТОРА по Аккредитиву (не включая эту дату), по дату погашения задолженности по Договору (включительно) устанавливается первоначальная Стандартная процентная ставка.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4 вариант 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ЗАЕМЩИК уплачивает ИНВЕСТОРУ проценты за пользование кредитом по Средневзвешенной процентной ставке, которая определяется следующим образом: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Процентная ставка по Договору на момент предоставления кредита составляет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 и именуется в дальнейшем “Базовая”.</w:t>
      </w:r>
    </w:p>
    <w:p w:rsidR="001128AC" w:rsidRPr="00323BC9" w:rsidRDefault="001128AC" w:rsidP="001128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период пользования кредитными ресурсами с даты заключения Договора (не включая эту дату) по дату открытия Аккредитива (включительно), устанавливается Базовая процентная ставка.</w:t>
      </w:r>
    </w:p>
    <w:p w:rsidR="001128AC" w:rsidRPr="00323BC9" w:rsidRDefault="001128AC" w:rsidP="001128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период пользования кредитными ресурсами с даты открытия Аккредитива (не включая эту дату) по дату полного списания средств со счета покрытия у ИНВЕСТОРА по Аккредитиву, за пользование кредитными ресурсами ЗАЕМЩИК уплачивает ИНВЕСТОРУ проценты по Средневзвешенной процентной ставке, размер которой определяется на основе расчета.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Средневзвешенной процентной ставки производится по всей сумме задолженности по кредиту исходя из: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объёма кредитных ресурсов, находящихся на счете покрытия по Аккредитиву, открытому у ИНВЕСТОРА, по Специальной процентной ставке, составляющей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годовых;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остатка ссудной задолженности, уменьшенного на объём ресурсов, находящихся на счете покрытия по Аккредитиву, открытому у ИНВЕСТОРА, по Базовой процентной ставке, составляющей не более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Z * 2,3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процента (</w:t>
      </w: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) годовых.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применяется следующая формула расчета Средневзвешенной процентной ставки:</w:t>
      </w:r>
    </w:p>
    <w:p w:rsidR="001128AC" w:rsidRPr="00323BC9" w:rsidRDefault="001128AC" w:rsidP="001128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SrSt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= (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val="en-US" w:eastAsia="ru-RU"/>
        </w:rPr>
        <w:t>n1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*</w:t>
      </w:r>
      <w:proofErr w:type="spellStart"/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SpSt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+ (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-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val="en-US" w:eastAsia="ru-RU"/>
        </w:rPr>
        <w:t>n1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)*</w:t>
      </w:r>
      <w:proofErr w:type="spellStart"/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DnSt</w:t>
      </w:r>
      <w:proofErr w:type="spellEnd"/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)/ 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, </w:t>
      </w: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SrSt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- Средневзвешенная процентная ставка по кредиту;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DnSt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- Базовая процентная ставка по кредиту;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SpSt</w:t>
      </w:r>
      <w:proofErr w:type="spellEnd"/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- Специальная процентная ставка по кредиту;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1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- кредитные ресурсы, находящиеся на счете покрытия по Аккредитиву, открытом у ИНВЕСТОРА; 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n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- общая сумма задолженности по кредиту.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если общая сумма ссудной задолженности меньше остатка средств на счете покрытия по Аккредитиву (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n &lt; 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E5"/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n1), на указанную сумму ссудной задолженности начисляется Специальная процентная ставка.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течение периода действия Средневзвешенной процентной ставки изменение процентной ставки производится ИНВЕСТОРОМ при изменении общей суммы задолженности по кредиту, Базовой и/или Специальной процентных ставок по кредиту, размера кредитных ресурсов, находящихся на счете покрытия по Аккредитиву, со следующего дня с даты наступления любого из вышеуказанных событий.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Средневзвешенная процентная ставка устанавливается без заключения дополнительного соглашения путем письменного уведомления ИНВЕСТОРОМ ЗАЕМЩИКА об установленном размере Средневзвешенной процентной ставки.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Уведомление о размере Средневзвешенной процентной ставки с порядком ее расчета направляется ИНВЕСТОРОМ в адрес ЗАЕМЩИКА в течение 3 (Трех) рабочих дней с даты изменения размера Средневзвешенной процентной ставки.</w:t>
      </w:r>
    </w:p>
    <w:p w:rsidR="001128AC" w:rsidRPr="00323BC9" w:rsidRDefault="001128AC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ЗАЕМЩИК обязан производить уплату процентов по ставке, определяемой в соответствии с условиями Договора, вне зависимости от факта получения ЗАЕМЩИКОМ уведомления ИНВЕСТОРА.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период пользования кредитными ресурсами с даты полного списания средств со счета покрытия у ИНВЕСТОРА по Аккредитиву (не включая эту дату), по дату погашения задолженности по Договору (включительно) устанавливается Базовая процентная ставка.</w:t>
      </w:r>
    </w:p>
    <w:p w:rsidR="001128AC" w:rsidRPr="00323BC9" w:rsidRDefault="001128AC" w:rsidP="0011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8AC" w:rsidRPr="002F33EB" w:rsidRDefault="001128AC" w:rsidP="0011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 </w:t>
      </w:r>
      <w:r w:rsidRPr="00323BC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Z</w:t>
      </w:r>
      <w:r w:rsidRPr="00323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ключевая ставка Банка России на дату заключения кредитного договора (договора займа) и / или предоставления кредита (займа)</w:t>
      </w:r>
    </w:p>
    <w:p w:rsidR="00C42653" w:rsidRPr="001B00D7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2653" w:rsidRPr="001B00D7" w:rsidSect="001128AC">
      <w:footerReference w:type="default" r:id="rId9"/>
      <w:pgSz w:w="11906" w:h="16838"/>
      <w:pgMar w:top="567" w:right="567" w:bottom="567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8F" w:rsidRDefault="006B4C8F" w:rsidP="00D14B44">
      <w:pPr>
        <w:spacing w:after="0" w:line="240" w:lineRule="auto"/>
      </w:pPr>
      <w:r>
        <w:separator/>
      </w:r>
    </w:p>
  </w:endnote>
  <w:endnote w:type="continuationSeparator" w:id="0">
    <w:p w:rsidR="006B4C8F" w:rsidRDefault="006B4C8F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73264"/>
      <w:docPartObj>
        <w:docPartGallery w:val="Page Numbers (Bottom of Page)"/>
        <w:docPartUnique/>
      </w:docPartObj>
    </w:sdtPr>
    <w:sdtEndPr/>
    <w:sdtContent>
      <w:p w:rsidR="009D5668" w:rsidRDefault="009D5668" w:rsidP="007D5577">
        <w:pPr>
          <w:pStyle w:val="a6"/>
          <w:jc w:val="right"/>
        </w:pPr>
        <w:r w:rsidRPr="00656D58">
          <w:rPr>
            <w:rFonts w:ascii="Times New Roman" w:hAnsi="Times New Roman" w:cs="Times New Roman"/>
          </w:rPr>
          <w:fldChar w:fldCharType="begin"/>
        </w:r>
        <w:r w:rsidRPr="00656D58">
          <w:rPr>
            <w:rFonts w:ascii="Times New Roman" w:hAnsi="Times New Roman" w:cs="Times New Roman"/>
          </w:rPr>
          <w:instrText>PAGE   \* MERGEFORMAT</w:instrText>
        </w:r>
        <w:r w:rsidRPr="00656D58">
          <w:rPr>
            <w:rFonts w:ascii="Times New Roman" w:hAnsi="Times New Roman" w:cs="Times New Roman"/>
          </w:rPr>
          <w:fldChar w:fldCharType="separate"/>
        </w:r>
        <w:r w:rsidR="002B26C9">
          <w:rPr>
            <w:rFonts w:ascii="Times New Roman" w:hAnsi="Times New Roman" w:cs="Times New Roman"/>
            <w:noProof/>
          </w:rPr>
          <w:t>6</w:t>
        </w:r>
        <w:r w:rsidRPr="00656D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8F" w:rsidRDefault="006B4C8F" w:rsidP="00D14B44">
      <w:pPr>
        <w:spacing w:after="0" w:line="240" w:lineRule="auto"/>
      </w:pPr>
      <w:r>
        <w:separator/>
      </w:r>
    </w:p>
  </w:footnote>
  <w:footnote w:type="continuationSeparator" w:id="0">
    <w:p w:rsidR="006B4C8F" w:rsidRDefault="006B4C8F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FF4B95"/>
    <w:multiLevelType w:val="hybridMultilevel"/>
    <w:tmpl w:val="BB509162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264"/>
    <w:multiLevelType w:val="hybridMultilevel"/>
    <w:tmpl w:val="EFECD60A"/>
    <w:lvl w:ilvl="0" w:tplc="2B022F68">
      <w:start w:val="26"/>
      <w:numFmt w:val="decimal"/>
      <w:lvlText w:val="%1"/>
      <w:lvlJc w:val="left"/>
      <w:pPr>
        <w:ind w:left="720" w:hanging="360"/>
      </w:pPr>
      <w:rPr>
        <w:rFonts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4184"/>
    <w:multiLevelType w:val="singleLevel"/>
    <w:tmpl w:val="A8CE6C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46C11F99"/>
    <w:multiLevelType w:val="hybridMultilevel"/>
    <w:tmpl w:val="BA5CE4DA"/>
    <w:lvl w:ilvl="0" w:tplc="E50465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6625EE3"/>
    <w:multiLevelType w:val="hybridMultilevel"/>
    <w:tmpl w:val="272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51293"/>
    <w:rsid w:val="0006677A"/>
    <w:rsid w:val="00084AF6"/>
    <w:rsid w:val="00097E58"/>
    <w:rsid w:val="000C2C53"/>
    <w:rsid w:val="000C5ADF"/>
    <w:rsid w:val="000C7599"/>
    <w:rsid w:val="000D0007"/>
    <w:rsid w:val="000D058C"/>
    <w:rsid w:val="000D3139"/>
    <w:rsid w:val="000E4CDE"/>
    <w:rsid w:val="000E58BE"/>
    <w:rsid w:val="000E5EAE"/>
    <w:rsid w:val="00102D64"/>
    <w:rsid w:val="00105E35"/>
    <w:rsid w:val="001128AC"/>
    <w:rsid w:val="0012107F"/>
    <w:rsid w:val="00127A29"/>
    <w:rsid w:val="001302F8"/>
    <w:rsid w:val="00146501"/>
    <w:rsid w:val="0016103A"/>
    <w:rsid w:val="001644FE"/>
    <w:rsid w:val="0016733D"/>
    <w:rsid w:val="0017384B"/>
    <w:rsid w:val="0018789E"/>
    <w:rsid w:val="001A7B8F"/>
    <w:rsid w:val="001B00D7"/>
    <w:rsid w:val="001B1751"/>
    <w:rsid w:val="001B2A7C"/>
    <w:rsid w:val="001B76CA"/>
    <w:rsid w:val="001C5F4F"/>
    <w:rsid w:val="001E758C"/>
    <w:rsid w:val="001F2A00"/>
    <w:rsid w:val="002123B3"/>
    <w:rsid w:val="00216681"/>
    <w:rsid w:val="002216E7"/>
    <w:rsid w:val="0022309C"/>
    <w:rsid w:val="00226F6E"/>
    <w:rsid w:val="00232972"/>
    <w:rsid w:val="002379F1"/>
    <w:rsid w:val="00242CED"/>
    <w:rsid w:val="00247916"/>
    <w:rsid w:val="00251925"/>
    <w:rsid w:val="0025502A"/>
    <w:rsid w:val="00257A27"/>
    <w:rsid w:val="00260C7D"/>
    <w:rsid w:val="00264E7F"/>
    <w:rsid w:val="00271E84"/>
    <w:rsid w:val="00273E8F"/>
    <w:rsid w:val="0029075A"/>
    <w:rsid w:val="00295BCC"/>
    <w:rsid w:val="002A23B8"/>
    <w:rsid w:val="002A67D8"/>
    <w:rsid w:val="002B0E58"/>
    <w:rsid w:val="002B141E"/>
    <w:rsid w:val="002B26C9"/>
    <w:rsid w:val="002B2CED"/>
    <w:rsid w:val="002B3815"/>
    <w:rsid w:val="002B4272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25B1"/>
    <w:rsid w:val="003506C7"/>
    <w:rsid w:val="00354FDC"/>
    <w:rsid w:val="00356A3D"/>
    <w:rsid w:val="003676E5"/>
    <w:rsid w:val="00376C03"/>
    <w:rsid w:val="00395A15"/>
    <w:rsid w:val="003A0DCE"/>
    <w:rsid w:val="003A57A6"/>
    <w:rsid w:val="003A7632"/>
    <w:rsid w:val="003B717F"/>
    <w:rsid w:val="003D7CBD"/>
    <w:rsid w:val="003E7044"/>
    <w:rsid w:val="003F6BB2"/>
    <w:rsid w:val="004053F6"/>
    <w:rsid w:val="00412141"/>
    <w:rsid w:val="004163C8"/>
    <w:rsid w:val="00416E14"/>
    <w:rsid w:val="004230E2"/>
    <w:rsid w:val="00426683"/>
    <w:rsid w:val="004517DD"/>
    <w:rsid w:val="00454DF1"/>
    <w:rsid w:val="0045624E"/>
    <w:rsid w:val="00461D1B"/>
    <w:rsid w:val="00490999"/>
    <w:rsid w:val="00490AD8"/>
    <w:rsid w:val="00494A46"/>
    <w:rsid w:val="004B585C"/>
    <w:rsid w:val="004C0B1E"/>
    <w:rsid w:val="004D1C4E"/>
    <w:rsid w:val="004E1561"/>
    <w:rsid w:val="004E2A68"/>
    <w:rsid w:val="004E4A5D"/>
    <w:rsid w:val="004F4552"/>
    <w:rsid w:val="00511559"/>
    <w:rsid w:val="005163C0"/>
    <w:rsid w:val="00521599"/>
    <w:rsid w:val="005233D2"/>
    <w:rsid w:val="0053730A"/>
    <w:rsid w:val="00546349"/>
    <w:rsid w:val="00561A09"/>
    <w:rsid w:val="00570ED9"/>
    <w:rsid w:val="0057187D"/>
    <w:rsid w:val="00572829"/>
    <w:rsid w:val="00573D63"/>
    <w:rsid w:val="005A2F27"/>
    <w:rsid w:val="005A3847"/>
    <w:rsid w:val="005A5B5F"/>
    <w:rsid w:val="005B7012"/>
    <w:rsid w:val="005C023D"/>
    <w:rsid w:val="005C425B"/>
    <w:rsid w:val="005C6FC4"/>
    <w:rsid w:val="005D42AC"/>
    <w:rsid w:val="005E2E66"/>
    <w:rsid w:val="005F26D1"/>
    <w:rsid w:val="00603BCE"/>
    <w:rsid w:val="00612B8B"/>
    <w:rsid w:val="0061645F"/>
    <w:rsid w:val="0062160D"/>
    <w:rsid w:val="00623A5C"/>
    <w:rsid w:val="00633896"/>
    <w:rsid w:val="006345A8"/>
    <w:rsid w:val="0064221B"/>
    <w:rsid w:val="00645157"/>
    <w:rsid w:val="00645225"/>
    <w:rsid w:val="006477FE"/>
    <w:rsid w:val="00650113"/>
    <w:rsid w:val="00656D58"/>
    <w:rsid w:val="00657E6A"/>
    <w:rsid w:val="0066222C"/>
    <w:rsid w:val="00666846"/>
    <w:rsid w:val="006678F4"/>
    <w:rsid w:val="006766B3"/>
    <w:rsid w:val="00694FCB"/>
    <w:rsid w:val="00696B6D"/>
    <w:rsid w:val="006B4C8F"/>
    <w:rsid w:val="006B5618"/>
    <w:rsid w:val="006B5D3E"/>
    <w:rsid w:val="006D3C50"/>
    <w:rsid w:val="007213D7"/>
    <w:rsid w:val="00735BEC"/>
    <w:rsid w:val="00736B09"/>
    <w:rsid w:val="00741352"/>
    <w:rsid w:val="00742464"/>
    <w:rsid w:val="00765FBF"/>
    <w:rsid w:val="00767546"/>
    <w:rsid w:val="007A5F9D"/>
    <w:rsid w:val="007B195F"/>
    <w:rsid w:val="007B2C82"/>
    <w:rsid w:val="007B7B49"/>
    <w:rsid w:val="007C6F17"/>
    <w:rsid w:val="007D5577"/>
    <w:rsid w:val="007E53A7"/>
    <w:rsid w:val="007E6F98"/>
    <w:rsid w:val="007F242F"/>
    <w:rsid w:val="007F3689"/>
    <w:rsid w:val="007F46FA"/>
    <w:rsid w:val="00804E34"/>
    <w:rsid w:val="00810A6C"/>
    <w:rsid w:val="0081245E"/>
    <w:rsid w:val="00812C56"/>
    <w:rsid w:val="008222C6"/>
    <w:rsid w:val="008223CD"/>
    <w:rsid w:val="008559BD"/>
    <w:rsid w:val="008741B5"/>
    <w:rsid w:val="00895109"/>
    <w:rsid w:val="008A2D91"/>
    <w:rsid w:val="008A39ED"/>
    <w:rsid w:val="008A4FEB"/>
    <w:rsid w:val="008B6225"/>
    <w:rsid w:val="008B744F"/>
    <w:rsid w:val="008C4AEC"/>
    <w:rsid w:val="008D245C"/>
    <w:rsid w:val="008E1014"/>
    <w:rsid w:val="009012EC"/>
    <w:rsid w:val="00901B7D"/>
    <w:rsid w:val="009064D1"/>
    <w:rsid w:val="00911502"/>
    <w:rsid w:val="009340EA"/>
    <w:rsid w:val="00935F0C"/>
    <w:rsid w:val="009500E3"/>
    <w:rsid w:val="00962F41"/>
    <w:rsid w:val="0097685A"/>
    <w:rsid w:val="00980CAF"/>
    <w:rsid w:val="00986BFE"/>
    <w:rsid w:val="009950F2"/>
    <w:rsid w:val="00995F0C"/>
    <w:rsid w:val="009A27A8"/>
    <w:rsid w:val="009B335F"/>
    <w:rsid w:val="009B4BD4"/>
    <w:rsid w:val="009C6749"/>
    <w:rsid w:val="009C7D2D"/>
    <w:rsid w:val="009D5668"/>
    <w:rsid w:val="009D7F20"/>
    <w:rsid w:val="009F0DFB"/>
    <w:rsid w:val="009F6DE9"/>
    <w:rsid w:val="00A11CB4"/>
    <w:rsid w:val="00A140A8"/>
    <w:rsid w:val="00A14699"/>
    <w:rsid w:val="00A2788F"/>
    <w:rsid w:val="00A35A9F"/>
    <w:rsid w:val="00A67CD8"/>
    <w:rsid w:val="00A715AA"/>
    <w:rsid w:val="00A741BD"/>
    <w:rsid w:val="00A81224"/>
    <w:rsid w:val="00A814D5"/>
    <w:rsid w:val="00A91389"/>
    <w:rsid w:val="00A92021"/>
    <w:rsid w:val="00A93F00"/>
    <w:rsid w:val="00AA29D6"/>
    <w:rsid w:val="00AD18D5"/>
    <w:rsid w:val="00AD3D14"/>
    <w:rsid w:val="00AF26CA"/>
    <w:rsid w:val="00AF7997"/>
    <w:rsid w:val="00B01B74"/>
    <w:rsid w:val="00B104AC"/>
    <w:rsid w:val="00B27091"/>
    <w:rsid w:val="00B346B9"/>
    <w:rsid w:val="00B5600F"/>
    <w:rsid w:val="00B56369"/>
    <w:rsid w:val="00B97130"/>
    <w:rsid w:val="00BA00F2"/>
    <w:rsid w:val="00BA2E97"/>
    <w:rsid w:val="00BB695B"/>
    <w:rsid w:val="00BD09CF"/>
    <w:rsid w:val="00BE0339"/>
    <w:rsid w:val="00BF1612"/>
    <w:rsid w:val="00C040A0"/>
    <w:rsid w:val="00C06BF5"/>
    <w:rsid w:val="00C13D32"/>
    <w:rsid w:val="00C158A0"/>
    <w:rsid w:val="00C15C23"/>
    <w:rsid w:val="00C20533"/>
    <w:rsid w:val="00C27FCB"/>
    <w:rsid w:val="00C42653"/>
    <w:rsid w:val="00C43A08"/>
    <w:rsid w:val="00C462B2"/>
    <w:rsid w:val="00C51D4B"/>
    <w:rsid w:val="00C66962"/>
    <w:rsid w:val="00C71F15"/>
    <w:rsid w:val="00C82131"/>
    <w:rsid w:val="00C86805"/>
    <w:rsid w:val="00CA1BCE"/>
    <w:rsid w:val="00CA667E"/>
    <w:rsid w:val="00CB7F97"/>
    <w:rsid w:val="00CD3229"/>
    <w:rsid w:val="00CD455B"/>
    <w:rsid w:val="00CE042D"/>
    <w:rsid w:val="00CE1FA7"/>
    <w:rsid w:val="00CF1266"/>
    <w:rsid w:val="00CF7C61"/>
    <w:rsid w:val="00D02801"/>
    <w:rsid w:val="00D0452C"/>
    <w:rsid w:val="00D14B44"/>
    <w:rsid w:val="00D17138"/>
    <w:rsid w:val="00D30899"/>
    <w:rsid w:val="00D36FC9"/>
    <w:rsid w:val="00D4711B"/>
    <w:rsid w:val="00D50C3A"/>
    <w:rsid w:val="00D5605D"/>
    <w:rsid w:val="00D62CE8"/>
    <w:rsid w:val="00D631B3"/>
    <w:rsid w:val="00D666FB"/>
    <w:rsid w:val="00D711B3"/>
    <w:rsid w:val="00D772B9"/>
    <w:rsid w:val="00D852D4"/>
    <w:rsid w:val="00D85A4E"/>
    <w:rsid w:val="00DA0A08"/>
    <w:rsid w:val="00DB496D"/>
    <w:rsid w:val="00DB7455"/>
    <w:rsid w:val="00DD187F"/>
    <w:rsid w:val="00DE72A3"/>
    <w:rsid w:val="00DF231D"/>
    <w:rsid w:val="00E02C48"/>
    <w:rsid w:val="00E032D9"/>
    <w:rsid w:val="00E07AB3"/>
    <w:rsid w:val="00E31A01"/>
    <w:rsid w:val="00E44CBC"/>
    <w:rsid w:val="00E543A2"/>
    <w:rsid w:val="00E55065"/>
    <w:rsid w:val="00E6348E"/>
    <w:rsid w:val="00E75565"/>
    <w:rsid w:val="00E75BC9"/>
    <w:rsid w:val="00E94508"/>
    <w:rsid w:val="00EA5EBF"/>
    <w:rsid w:val="00EB250A"/>
    <w:rsid w:val="00EC1292"/>
    <w:rsid w:val="00EC1FBD"/>
    <w:rsid w:val="00EC21E8"/>
    <w:rsid w:val="00EC5E6B"/>
    <w:rsid w:val="00EE56F5"/>
    <w:rsid w:val="00EE7F97"/>
    <w:rsid w:val="00EF0107"/>
    <w:rsid w:val="00F0423A"/>
    <w:rsid w:val="00F129F8"/>
    <w:rsid w:val="00F15F66"/>
    <w:rsid w:val="00F17674"/>
    <w:rsid w:val="00F17BCA"/>
    <w:rsid w:val="00F25F39"/>
    <w:rsid w:val="00F32C86"/>
    <w:rsid w:val="00F371A9"/>
    <w:rsid w:val="00F37216"/>
    <w:rsid w:val="00F37F27"/>
    <w:rsid w:val="00F4329E"/>
    <w:rsid w:val="00F5400A"/>
    <w:rsid w:val="00F63436"/>
    <w:rsid w:val="00F72F07"/>
    <w:rsid w:val="00F77C63"/>
    <w:rsid w:val="00F94806"/>
    <w:rsid w:val="00FC47CE"/>
    <w:rsid w:val="00FD0B21"/>
    <w:rsid w:val="00FD3C03"/>
    <w:rsid w:val="00FE4DAA"/>
    <w:rsid w:val="00FE71E6"/>
    <w:rsid w:val="00FF065A"/>
    <w:rsid w:val="00FF3B8C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table" w:styleId="ab">
    <w:name w:val="Table Grid"/>
    <w:basedOn w:val="a1"/>
    <w:uiPriority w:val="39"/>
    <w:rsid w:val="0052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55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55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55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55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5577"/>
    <w:rPr>
      <w:b/>
      <w:bCs/>
      <w:sz w:val="20"/>
      <w:szCs w:val="20"/>
    </w:rPr>
  </w:style>
  <w:style w:type="paragraph" w:styleId="af1">
    <w:name w:val="Body Text"/>
    <w:basedOn w:val="a"/>
    <w:link w:val="af2"/>
    <w:rsid w:val="00FD3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A01C-86B5-4F1D-A28C-6BE896C9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9924</Words>
  <Characters>56570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Голуб Марина Васильевна</cp:lastModifiedBy>
  <cp:revision>4</cp:revision>
  <cp:lastPrinted>2019-11-07T09:56:00Z</cp:lastPrinted>
  <dcterms:created xsi:type="dcterms:W3CDTF">2019-11-07T09:49:00Z</dcterms:created>
  <dcterms:modified xsi:type="dcterms:W3CDTF">2019-11-08T12:34:00Z</dcterms:modified>
</cp:coreProperties>
</file>